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framePr w:w="0" w:hRule="auto" w:wrap="auto" w:vAnchor="margin" w:hAnchor="text" w:xAlign="left" w:yAlign="inline"/>
        <w:spacing w:line="300" w:lineRule="auto"/>
        <w:rPr>
          <w:rFonts w:ascii="Times New Roman"/>
        </w:rPr>
      </w:pPr>
    </w:p>
    <w:p>
      <w:pPr>
        <w:pStyle w:val="23"/>
        <w:framePr w:w="0" w:hRule="auto" w:wrap="auto" w:vAnchor="margin" w:hAnchor="text" w:xAlign="left" w:yAlign="inline"/>
        <w:spacing w:line="300" w:lineRule="auto"/>
        <w:rPr>
          <w:rFonts w:ascii="Times New Roman"/>
        </w:rPr>
      </w:pPr>
    </w:p>
    <w:p>
      <w:pPr>
        <w:pStyle w:val="23"/>
        <w:framePr w:w="0" w:hRule="auto" w:wrap="auto" w:vAnchor="margin" w:hAnchor="text" w:xAlign="left" w:yAlign="inline"/>
        <w:spacing w:line="300" w:lineRule="auto"/>
        <w:rPr>
          <w:rFonts w:ascii="Times New Roman"/>
        </w:rPr>
      </w:pPr>
    </w:p>
    <w:p>
      <w:pPr>
        <w:pStyle w:val="24"/>
        <w:spacing w:line="300" w:lineRule="auto"/>
        <w:rPr>
          <w:rFonts w:ascii="Times New Roman" w:eastAsia="黑体"/>
          <w:sz w:val="52"/>
          <w:szCs w:val="52"/>
        </w:rPr>
      </w:pPr>
      <w:r>
        <w:rPr>
          <w:rFonts w:hint="eastAsia" w:ascii="Times New Roman" w:eastAsia="黑体"/>
          <w:sz w:val="52"/>
          <w:szCs w:val="52"/>
        </w:rPr>
        <w:t>水泥工厂预分解窑点火投料安全规程</w:t>
      </w:r>
    </w:p>
    <w:p>
      <w:pPr>
        <w:pStyle w:val="24"/>
        <w:spacing w:line="300" w:lineRule="auto"/>
        <w:rPr>
          <w:rFonts w:ascii="Times New Roman" w:eastAsia="黑体"/>
          <w:sz w:val="52"/>
        </w:rPr>
      </w:pPr>
      <w:r>
        <w:rPr>
          <w:rFonts w:hint="eastAsia" w:ascii="Times New Roman" w:eastAsia="黑体"/>
          <w:sz w:val="52"/>
        </w:rPr>
        <w:t>编制说明</w:t>
      </w:r>
    </w:p>
    <w:p>
      <w:pPr>
        <w:pStyle w:val="24"/>
        <w:spacing w:line="300" w:lineRule="auto"/>
        <w:rPr>
          <w:rFonts w:ascii="Times New Roman" w:eastAsia="黑体"/>
          <w:sz w:val="44"/>
          <w:szCs w:val="44"/>
        </w:rPr>
      </w:pPr>
    </w:p>
    <w:p>
      <w:pPr>
        <w:pStyle w:val="24"/>
        <w:spacing w:line="300" w:lineRule="auto"/>
        <w:rPr>
          <w:rFonts w:ascii="Times New Roman" w:eastAsia="黑体"/>
          <w:sz w:val="52"/>
        </w:rPr>
      </w:pPr>
    </w:p>
    <w:p>
      <w:pPr>
        <w:pStyle w:val="24"/>
        <w:spacing w:line="300" w:lineRule="auto"/>
        <w:rPr>
          <w:rFonts w:ascii="Times New Roman" w:eastAsia="黑体"/>
          <w:sz w:val="52"/>
        </w:rPr>
      </w:pPr>
    </w:p>
    <w:p>
      <w:pPr>
        <w:pStyle w:val="24"/>
        <w:spacing w:line="300" w:lineRule="auto"/>
        <w:jc w:val="both"/>
        <w:rPr>
          <w:rFonts w:ascii="Times New Roman" w:eastAsia="黑体"/>
          <w:sz w:val="52"/>
        </w:rPr>
      </w:pPr>
      <w:r>
        <w:rPr>
          <w:rFonts w:ascii="Times New Roman" w:eastAsia="黑体"/>
          <w:sz w:val="52"/>
        </w:rPr>
        <w:t xml:space="preserve">                </w:t>
      </w:r>
    </w:p>
    <w:p>
      <w:pPr>
        <w:pStyle w:val="24"/>
        <w:spacing w:line="300" w:lineRule="auto"/>
        <w:rPr>
          <w:rFonts w:ascii="Times New Roman" w:eastAsia="黑体"/>
          <w:sz w:val="44"/>
          <w:szCs w:val="44"/>
        </w:rPr>
      </w:pPr>
      <w:r>
        <w:rPr>
          <w:rFonts w:hint="eastAsia" w:ascii="Times New Roman" w:eastAsia="黑体"/>
          <w:sz w:val="44"/>
          <w:szCs w:val="44"/>
        </w:rPr>
        <w:t>中国建材检验认证集团股份有限公司</w:t>
      </w:r>
    </w:p>
    <w:p>
      <w:pPr>
        <w:pStyle w:val="24"/>
        <w:spacing w:line="300" w:lineRule="auto"/>
        <w:rPr>
          <w:rFonts w:ascii="Times New Roman" w:eastAsia="黑体"/>
          <w:sz w:val="36"/>
          <w:szCs w:val="36"/>
        </w:rPr>
      </w:pPr>
      <w:r>
        <w:rPr>
          <w:rFonts w:ascii="Times New Roman" w:eastAsia="黑体"/>
          <w:sz w:val="36"/>
          <w:szCs w:val="36"/>
        </w:rPr>
        <w:t>2016</w:t>
      </w:r>
      <w:r>
        <w:rPr>
          <w:rFonts w:hint="eastAsia" w:ascii="Times New Roman" w:eastAsia="黑体"/>
          <w:sz w:val="36"/>
          <w:szCs w:val="36"/>
        </w:rPr>
        <w:t>年</w:t>
      </w:r>
      <w:r>
        <w:rPr>
          <w:rFonts w:ascii="Times New Roman" w:eastAsia="黑体"/>
          <w:sz w:val="36"/>
          <w:szCs w:val="36"/>
        </w:rPr>
        <w:t>11</w:t>
      </w:r>
      <w:r>
        <w:rPr>
          <w:rFonts w:hint="eastAsia" w:ascii="Times New Roman" w:eastAsia="黑体"/>
          <w:sz w:val="36"/>
          <w:szCs w:val="36"/>
        </w:rPr>
        <w:t>月</w:t>
      </w:r>
    </w:p>
    <w:p>
      <w:pPr>
        <w:pStyle w:val="24"/>
        <w:spacing w:line="300" w:lineRule="auto"/>
        <w:jc w:val="both"/>
        <w:rPr>
          <w:rFonts w:ascii="Times New Roman"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425" w:num="1"/>
          <w:titlePg/>
          <w:docGrid w:type="lines" w:linePitch="381" w:charSpace="0"/>
        </w:sectPr>
      </w:pPr>
    </w:p>
    <w:p>
      <w:pPr>
        <w:widowControl/>
        <w:ind w:firstLine="0" w:firstLineChars="0"/>
        <w:jc w:val="center"/>
      </w:pPr>
      <w:r>
        <w:rPr>
          <w:rFonts w:hint="eastAsia" w:ascii="Times New Roman" w:hAnsi="黑体" w:eastAsia="黑体"/>
          <w:sz w:val="36"/>
          <w:szCs w:val="36"/>
        </w:rPr>
        <w:t>目</w:t>
      </w:r>
      <w:r>
        <w:rPr>
          <w:rFonts w:ascii="Times New Roman" w:hAnsi="Times New Roman" w:eastAsia="黑体"/>
          <w:sz w:val="36"/>
          <w:szCs w:val="36"/>
        </w:rPr>
        <w:t xml:space="preserve">  </w:t>
      </w:r>
      <w:r>
        <w:rPr>
          <w:rFonts w:hint="eastAsia" w:ascii="Times New Roman" w:hAnsi="黑体" w:eastAsia="黑体"/>
          <w:sz w:val="36"/>
          <w:szCs w:val="36"/>
        </w:rPr>
        <w:t>录</w:t>
      </w:r>
      <w:r>
        <w:rPr>
          <w:rFonts w:ascii="Times New Roman" w:hAnsi="Times New Roman" w:eastAsia="黑体"/>
          <w:sz w:val="36"/>
          <w:szCs w:val="36"/>
        </w:rPr>
        <w:fldChar w:fldCharType="begin"/>
      </w:r>
      <w:r>
        <w:rPr>
          <w:rFonts w:ascii="Times New Roman" w:hAnsi="Times New Roman" w:eastAsia="黑体"/>
          <w:sz w:val="36"/>
          <w:szCs w:val="36"/>
        </w:rPr>
        <w:instrText xml:space="preserve"> TOC \o "1-1" \h \z \u </w:instrText>
      </w:r>
      <w:r>
        <w:rPr>
          <w:rFonts w:ascii="Times New Roman" w:hAnsi="Times New Roman" w:eastAsia="黑体"/>
          <w:sz w:val="36"/>
          <w:szCs w:val="36"/>
        </w:rPr>
        <w:fldChar w:fldCharType="separate"/>
      </w:r>
    </w:p>
    <w:p>
      <w:pPr>
        <w:pStyle w:val="10"/>
        <w:tabs>
          <w:tab w:val="right" w:leader="dot" w:pos="8948"/>
        </w:tabs>
        <w:ind w:firstLine="560"/>
        <w:rPr>
          <w:rFonts w:ascii="Times New Roman" w:hAnsi="Times New Roman"/>
          <w:sz w:val="21"/>
          <w:szCs w:val="24"/>
        </w:rPr>
      </w:pPr>
      <w:r>
        <w:fldChar w:fldCharType="begin"/>
      </w:r>
      <w:r>
        <w:instrText xml:space="preserve"> HYPERLINK \l "_Toc467828975" </w:instrText>
      </w:r>
      <w:r>
        <w:fldChar w:fldCharType="separate"/>
      </w:r>
      <w:r>
        <w:rPr>
          <w:rStyle w:val="13"/>
          <w:rFonts w:hint="eastAsia"/>
        </w:rPr>
        <w:t>一、标准编写工作简况</w:t>
      </w:r>
      <w:r>
        <w:tab/>
      </w:r>
      <w:r>
        <w:fldChar w:fldCharType="begin"/>
      </w:r>
      <w:r>
        <w:instrText xml:space="preserve"> PAGEREF _Toc467828975 \h </w:instrText>
      </w:r>
      <w:r>
        <w:fldChar w:fldCharType="separate"/>
      </w:r>
      <w:r>
        <w:t>3</w:t>
      </w:r>
      <w:r>
        <w:fldChar w:fldCharType="end"/>
      </w:r>
      <w:r>
        <w:fldChar w:fldCharType="end"/>
      </w:r>
    </w:p>
    <w:p>
      <w:pPr>
        <w:pStyle w:val="10"/>
        <w:tabs>
          <w:tab w:val="right" w:leader="dot" w:pos="8948"/>
        </w:tabs>
        <w:ind w:firstLine="560"/>
        <w:rPr>
          <w:rFonts w:ascii="Times New Roman" w:hAnsi="Times New Roman"/>
          <w:sz w:val="21"/>
          <w:szCs w:val="24"/>
        </w:rPr>
      </w:pPr>
      <w:r>
        <w:fldChar w:fldCharType="begin"/>
      </w:r>
      <w:r>
        <w:instrText xml:space="preserve"> HYPERLINK \l "_Toc467828976" </w:instrText>
      </w:r>
      <w:r>
        <w:fldChar w:fldCharType="separate"/>
      </w:r>
      <w:r>
        <w:rPr>
          <w:rStyle w:val="13"/>
          <w:rFonts w:hint="eastAsia"/>
        </w:rPr>
        <w:t>二、任务来源</w:t>
      </w:r>
      <w:r>
        <w:tab/>
      </w:r>
      <w:r>
        <w:fldChar w:fldCharType="begin"/>
      </w:r>
      <w:r>
        <w:instrText xml:space="preserve"> PAGEREF _Toc467828976 \h </w:instrText>
      </w:r>
      <w:r>
        <w:fldChar w:fldCharType="separate"/>
      </w:r>
      <w:r>
        <w:t>5</w:t>
      </w:r>
      <w:r>
        <w:fldChar w:fldCharType="end"/>
      </w:r>
      <w:r>
        <w:fldChar w:fldCharType="end"/>
      </w:r>
    </w:p>
    <w:p>
      <w:pPr>
        <w:pStyle w:val="10"/>
        <w:tabs>
          <w:tab w:val="right" w:leader="dot" w:pos="8948"/>
        </w:tabs>
        <w:ind w:firstLine="560"/>
        <w:rPr>
          <w:rFonts w:ascii="Times New Roman" w:hAnsi="Times New Roman"/>
          <w:sz w:val="21"/>
          <w:szCs w:val="24"/>
        </w:rPr>
      </w:pPr>
      <w:r>
        <w:fldChar w:fldCharType="begin"/>
      </w:r>
      <w:r>
        <w:instrText xml:space="preserve"> HYPERLINK \l "_Toc467828977" </w:instrText>
      </w:r>
      <w:r>
        <w:fldChar w:fldCharType="separate"/>
      </w:r>
      <w:r>
        <w:rPr>
          <w:rStyle w:val="13"/>
          <w:rFonts w:hint="eastAsia"/>
        </w:rPr>
        <w:t>三、参编单位</w:t>
      </w:r>
      <w:r>
        <w:tab/>
      </w:r>
      <w:r>
        <w:fldChar w:fldCharType="begin"/>
      </w:r>
      <w:r>
        <w:instrText xml:space="preserve"> PAGEREF _Toc467828977 \h </w:instrText>
      </w:r>
      <w:r>
        <w:fldChar w:fldCharType="separate"/>
      </w:r>
      <w:r>
        <w:t>8</w:t>
      </w:r>
      <w:r>
        <w:fldChar w:fldCharType="end"/>
      </w:r>
      <w:r>
        <w:fldChar w:fldCharType="end"/>
      </w:r>
    </w:p>
    <w:p>
      <w:pPr>
        <w:pStyle w:val="10"/>
        <w:tabs>
          <w:tab w:val="right" w:leader="dot" w:pos="8948"/>
        </w:tabs>
        <w:ind w:firstLine="560"/>
        <w:rPr>
          <w:rFonts w:ascii="Times New Roman" w:hAnsi="Times New Roman"/>
          <w:sz w:val="21"/>
          <w:szCs w:val="24"/>
        </w:rPr>
      </w:pPr>
      <w:r>
        <w:fldChar w:fldCharType="begin"/>
      </w:r>
      <w:r>
        <w:instrText xml:space="preserve"> HYPERLINK \l "_Toc467828978" </w:instrText>
      </w:r>
      <w:r>
        <w:fldChar w:fldCharType="separate"/>
      </w:r>
      <w:r>
        <w:rPr>
          <w:rStyle w:val="13"/>
          <w:rFonts w:hint="eastAsia" w:hAnsi="宋体"/>
          <w:bCs/>
        </w:rPr>
        <w:t>四、标准编制原则</w:t>
      </w:r>
      <w:r>
        <w:tab/>
      </w:r>
      <w:r>
        <w:fldChar w:fldCharType="begin"/>
      </w:r>
      <w:r>
        <w:instrText xml:space="preserve"> PAGEREF _Toc467828978 \h </w:instrText>
      </w:r>
      <w:r>
        <w:fldChar w:fldCharType="separate"/>
      </w:r>
      <w:r>
        <w:t>8</w:t>
      </w:r>
      <w:r>
        <w:fldChar w:fldCharType="end"/>
      </w:r>
      <w:r>
        <w:fldChar w:fldCharType="end"/>
      </w:r>
    </w:p>
    <w:p>
      <w:pPr>
        <w:pStyle w:val="10"/>
        <w:tabs>
          <w:tab w:val="right" w:leader="dot" w:pos="8948"/>
        </w:tabs>
        <w:ind w:firstLine="560"/>
        <w:rPr>
          <w:rFonts w:ascii="Times New Roman" w:hAnsi="Times New Roman"/>
          <w:sz w:val="21"/>
          <w:szCs w:val="24"/>
        </w:rPr>
      </w:pPr>
      <w:r>
        <w:fldChar w:fldCharType="begin"/>
      </w:r>
      <w:r>
        <w:instrText xml:space="preserve"> HYPERLINK \l "_Toc467828979" </w:instrText>
      </w:r>
      <w:r>
        <w:fldChar w:fldCharType="separate"/>
      </w:r>
      <w:r>
        <w:rPr>
          <w:rStyle w:val="13"/>
          <w:rFonts w:hint="eastAsia"/>
        </w:rPr>
        <w:t>五、编制过程</w:t>
      </w:r>
      <w:r>
        <w:tab/>
      </w:r>
      <w:r>
        <w:fldChar w:fldCharType="begin"/>
      </w:r>
      <w:r>
        <w:instrText xml:space="preserve"> PAGEREF _Toc467828979 \h </w:instrText>
      </w:r>
      <w:r>
        <w:fldChar w:fldCharType="separate"/>
      </w:r>
      <w:r>
        <w:t>8</w:t>
      </w:r>
      <w:r>
        <w:fldChar w:fldCharType="end"/>
      </w:r>
      <w:r>
        <w:fldChar w:fldCharType="end"/>
      </w:r>
    </w:p>
    <w:p>
      <w:pPr>
        <w:pStyle w:val="10"/>
        <w:tabs>
          <w:tab w:val="right" w:leader="dot" w:pos="8948"/>
        </w:tabs>
        <w:ind w:firstLine="560"/>
        <w:rPr>
          <w:rFonts w:ascii="Times New Roman" w:hAnsi="Times New Roman"/>
          <w:sz w:val="21"/>
          <w:szCs w:val="24"/>
        </w:rPr>
      </w:pPr>
      <w:r>
        <w:fldChar w:fldCharType="begin"/>
      </w:r>
      <w:r>
        <w:instrText xml:space="preserve"> HYPERLINK \l "_Toc467828980" </w:instrText>
      </w:r>
      <w:r>
        <w:fldChar w:fldCharType="separate"/>
      </w:r>
      <w:r>
        <w:rPr>
          <w:rStyle w:val="13"/>
          <w:rFonts w:hint="eastAsia"/>
        </w:rPr>
        <w:t>六、规程主要内容</w:t>
      </w:r>
      <w:r>
        <w:tab/>
      </w:r>
      <w:r>
        <w:fldChar w:fldCharType="begin"/>
      </w:r>
      <w:r>
        <w:instrText xml:space="preserve"> PAGEREF _Toc467828980 \h </w:instrText>
      </w:r>
      <w:r>
        <w:fldChar w:fldCharType="separate"/>
      </w:r>
      <w:r>
        <w:t>9</w:t>
      </w:r>
      <w:r>
        <w:fldChar w:fldCharType="end"/>
      </w:r>
      <w:r>
        <w:fldChar w:fldCharType="end"/>
      </w:r>
    </w:p>
    <w:p>
      <w:pPr>
        <w:pStyle w:val="10"/>
        <w:tabs>
          <w:tab w:val="right" w:leader="dot" w:pos="8948"/>
        </w:tabs>
        <w:ind w:firstLine="560"/>
        <w:rPr>
          <w:rFonts w:ascii="Times New Roman" w:hAnsi="Times New Roman"/>
          <w:sz w:val="21"/>
          <w:szCs w:val="24"/>
        </w:rPr>
      </w:pPr>
      <w:r>
        <w:fldChar w:fldCharType="begin"/>
      </w:r>
      <w:r>
        <w:instrText xml:space="preserve"> HYPERLINK \l "_Toc467828981" </w:instrText>
      </w:r>
      <w:r>
        <w:fldChar w:fldCharType="separate"/>
      </w:r>
      <w:r>
        <w:rPr>
          <w:rStyle w:val="13"/>
          <w:rFonts w:hint="eastAsia"/>
        </w:rPr>
        <w:t>七、标准制订意见汇总和采纳情况</w:t>
      </w:r>
      <w:r>
        <w:tab/>
      </w:r>
      <w:r>
        <w:fldChar w:fldCharType="begin"/>
      </w:r>
      <w:r>
        <w:instrText xml:space="preserve"> PAGEREF _Toc467828981 \h </w:instrText>
      </w:r>
      <w:r>
        <w:fldChar w:fldCharType="separate"/>
      </w:r>
      <w:r>
        <w:t>10</w:t>
      </w:r>
      <w:r>
        <w:fldChar w:fldCharType="end"/>
      </w:r>
      <w:r>
        <w:fldChar w:fldCharType="end"/>
      </w:r>
    </w:p>
    <w:p>
      <w:pPr>
        <w:pStyle w:val="10"/>
        <w:tabs>
          <w:tab w:val="right" w:leader="dot" w:pos="8948"/>
        </w:tabs>
        <w:ind w:firstLine="560"/>
      </w:pPr>
      <w:r>
        <w:fldChar w:fldCharType="begin"/>
      </w:r>
      <w:r>
        <w:instrText xml:space="preserve"> HYPERLINK \l "_Toc467828982" </w:instrText>
      </w:r>
      <w:r>
        <w:fldChar w:fldCharType="separate"/>
      </w:r>
      <w:r>
        <w:rPr>
          <w:rStyle w:val="13"/>
          <w:rFonts w:hint="eastAsia"/>
        </w:rPr>
        <w:t>八、标准执行要求</w:t>
      </w:r>
      <w:r>
        <w:tab/>
      </w:r>
      <w:r>
        <w:fldChar w:fldCharType="begin"/>
      </w:r>
      <w:r>
        <w:instrText xml:space="preserve"> PAGEREF _Toc467828982 \h </w:instrText>
      </w:r>
      <w:r>
        <w:fldChar w:fldCharType="separate"/>
      </w:r>
      <w:r>
        <w:t>10</w:t>
      </w:r>
      <w:r>
        <w:fldChar w:fldCharType="end"/>
      </w:r>
      <w:r>
        <w:fldChar w:fldCharType="end"/>
      </w:r>
    </w:p>
    <w:p>
      <w:pPr>
        <w:pStyle w:val="10"/>
        <w:tabs>
          <w:tab w:val="right" w:leader="dot" w:pos="8948"/>
        </w:tabs>
        <w:ind w:firstLine="479" w:firstLineChars="171"/>
      </w:pPr>
      <w:r>
        <w:rPr>
          <w:rFonts w:hint="eastAsia" w:ascii="Times New Roman" w:hAnsi="Times New Roman"/>
          <w:szCs w:val="28"/>
        </w:rPr>
        <w:t>九</w:t>
      </w:r>
      <w:r>
        <w:rPr>
          <w:rFonts w:hint="eastAsia"/>
          <w:szCs w:val="28"/>
        </w:rPr>
        <w:t>、</w:t>
      </w:r>
      <w:r>
        <w:rPr>
          <w:rFonts w:hint="eastAsia" w:ascii="Times New Roman"/>
        </w:rPr>
        <w:t>废止现行有关标准的建议</w:t>
      </w:r>
      <w:r>
        <w:rPr>
          <w:rFonts w:ascii="Times New Roman"/>
        </w:rPr>
        <w:t xml:space="preserve"> </w:t>
      </w:r>
      <w:r>
        <w:fldChar w:fldCharType="begin"/>
      </w:r>
      <w:r>
        <w:instrText xml:space="preserve"> HYPERLINK \l "_Toc467828984" </w:instrText>
      </w:r>
      <w:r>
        <w:fldChar w:fldCharType="separate"/>
      </w:r>
      <w:r>
        <w:tab/>
      </w:r>
      <w:r>
        <w:fldChar w:fldCharType="begin"/>
      </w:r>
      <w:r>
        <w:instrText xml:space="preserve"> PAGEREF _Toc467828984 \h </w:instrText>
      </w:r>
      <w:r>
        <w:fldChar w:fldCharType="separate"/>
      </w:r>
      <w:r>
        <w:t>11</w:t>
      </w:r>
      <w:r>
        <w:fldChar w:fldCharType="end"/>
      </w:r>
      <w:r>
        <w:fldChar w:fldCharType="end"/>
      </w:r>
    </w:p>
    <w:p>
      <w:pPr>
        <w:ind w:firstLine="479" w:firstLineChars="171"/>
      </w:pPr>
      <w:r>
        <w:rPr>
          <w:rFonts w:hint="eastAsia"/>
        </w:rPr>
        <w:t xml:space="preserve">十、其它应予说明的事项 </w:t>
      </w:r>
      <w:r>
        <w:tab/>
      </w:r>
      <w:r>
        <w:rPr>
          <w:rFonts w:hint="eastAsia"/>
        </w:rPr>
        <w:t xml:space="preserve">     </w:t>
      </w:r>
      <w:r>
        <w:tab/>
      </w:r>
      <w:r>
        <w:tab/>
      </w:r>
      <w:r>
        <w:rPr>
          <w:rFonts w:hint="eastAsia"/>
        </w:rPr>
        <w:t xml:space="preserve">                            </w:t>
      </w:r>
    </w:p>
    <w:p>
      <w:pPr>
        <w:ind w:firstLine="560"/>
      </w:pPr>
    </w:p>
    <w:p>
      <w:pPr>
        <w:widowControl/>
        <w:ind w:firstLine="0" w:firstLineChars="0"/>
        <w:jc w:val="center"/>
        <w:rPr>
          <w:rFonts w:ascii="Times New Roman" w:hAnsi="Times New Roman" w:eastAsia="黑体"/>
          <w:sz w:val="36"/>
          <w:szCs w:val="36"/>
        </w:rPr>
      </w:pPr>
      <w:r>
        <w:rPr>
          <w:rFonts w:ascii="Times New Roman" w:hAnsi="Times New Roman" w:eastAsia="黑体"/>
          <w:sz w:val="36"/>
          <w:szCs w:val="36"/>
        </w:rPr>
        <w:fldChar w:fldCharType="end"/>
      </w:r>
    </w:p>
    <w:p>
      <w:pPr>
        <w:widowControl/>
        <w:ind w:firstLine="0" w:firstLineChars="0"/>
        <w:jc w:val="left"/>
        <w:rPr>
          <w:rFonts w:ascii="Times New Roman" w:hAnsi="Times New Roman" w:eastAsia="黑体"/>
          <w:b/>
          <w:sz w:val="36"/>
          <w:szCs w:val="36"/>
        </w:rPr>
      </w:pPr>
      <w:r>
        <w:rPr>
          <w:rFonts w:ascii="Times New Roman" w:hAnsi="Times New Roman" w:eastAsia="黑体"/>
          <w:sz w:val="36"/>
          <w:szCs w:val="36"/>
        </w:rPr>
        <w:br w:type="page"/>
      </w:r>
      <w:bookmarkStart w:id="0" w:name="_Toc467828975"/>
      <w:r>
        <w:rPr>
          <w:rFonts w:hint="eastAsia" w:ascii="Times New Roman" w:hAnsi="Times New Roman" w:eastAsia="黑体"/>
          <w:b/>
          <w:szCs w:val="28"/>
        </w:rPr>
        <w:t>一、</w:t>
      </w:r>
      <w:r>
        <w:rPr>
          <w:rFonts w:hint="eastAsia" w:ascii="Times New Roman"/>
          <w:b/>
          <w:szCs w:val="28"/>
        </w:rPr>
        <w:t>标准编写工作简况</w:t>
      </w:r>
      <w:bookmarkEnd w:id="0"/>
    </w:p>
    <w:p>
      <w:pPr>
        <w:ind w:firstLine="560"/>
        <w:rPr>
          <w:rFonts w:ascii="Times New Roman" w:hAnsi="Times New Roman"/>
        </w:rPr>
      </w:pPr>
      <w:r>
        <w:rPr>
          <w:rFonts w:hint="eastAsia" w:ascii="Times New Roman"/>
        </w:rPr>
        <w:t>目前，我国已颁布的与水泥工厂直接相关的安全生产标准、规程相对较少，在水泥企业生产安全技术方面相关的安全标准也比较欠缺。</w:t>
      </w:r>
    </w:p>
    <w:p>
      <w:pPr>
        <w:ind w:firstLine="560"/>
        <w:rPr>
          <w:rFonts w:ascii="Times New Roman" w:hAnsi="Times New Roman"/>
        </w:rPr>
      </w:pPr>
      <w:r>
        <w:rPr>
          <w:rFonts w:hint="eastAsia" w:ascii="Times New Roman"/>
        </w:rPr>
        <w:t>水泥工厂普遍采用</w:t>
      </w:r>
      <w:r>
        <w:rPr>
          <w:rFonts w:hint="eastAsia" w:ascii="Times New Roman" w:hAnsi="Times New Roman"/>
        </w:rPr>
        <w:t>“</w:t>
      </w:r>
      <w:r>
        <w:rPr>
          <w:rFonts w:hint="eastAsia" w:ascii="Times New Roman"/>
        </w:rPr>
        <w:t>摸着石头过河</w:t>
      </w:r>
      <w:r>
        <w:rPr>
          <w:rFonts w:hint="eastAsia" w:ascii="Times New Roman" w:hAnsi="Times New Roman"/>
        </w:rPr>
        <w:t>”</w:t>
      </w:r>
      <w:r>
        <w:rPr>
          <w:rFonts w:hint="eastAsia" w:ascii="Times New Roman"/>
        </w:rPr>
        <w:t>的方式，只能依据自行制定的安全技术操作规程进行安全生产日常运行，普遍缺乏科学性、有效性和规范性。</w:t>
      </w:r>
    </w:p>
    <w:p>
      <w:pPr>
        <w:ind w:firstLine="560"/>
        <w:rPr>
          <w:rFonts w:ascii="Times New Roman" w:hAnsi="Times New Roman"/>
        </w:rPr>
      </w:pPr>
      <w:r>
        <w:rPr>
          <w:rFonts w:hint="eastAsia" w:ascii="Times New Roman"/>
        </w:rPr>
        <w:t>行业内的水泥企业已经制定了可供参考的技术规程、标准，都是专业性较强的代表水泥生产线部分的安全规程，还没有专门的水泥工厂预分解窑的点火投料安全规程，预分解窑的点火投料过程是一个危险性较强的操作，相关生产工艺线包括窑尾预热器、回转窑和篦冷机系统，在安全方面隐藏着很大的安全隐患。</w:t>
      </w:r>
    </w:p>
    <w:p>
      <w:pPr>
        <w:ind w:firstLine="560"/>
        <w:rPr>
          <w:rFonts w:ascii="Times New Roman" w:hAnsi="Times New Roman"/>
        </w:rPr>
      </w:pPr>
      <w:r>
        <w:rPr>
          <w:rFonts w:hint="eastAsia" w:ascii="Times New Roman"/>
        </w:rPr>
        <w:t>为贯彻科学发展观，落实</w:t>
      </w:r>
      <w:r>
        <w:rPr>
          <w:rFonts w:ascii="Times New Roman" w:hAnsi="Times New Roman"/>
        </w:rPr>
        <w:t>“</w:t>
      </w:r>
      <w:r>
        <w:rPr>
          <w:rFonts w:hint="eastAsia" w:ascii="Times New Roman"/>
        </w:rPr>
        <w:t>十八大</w:t>
      </w:r>
      <w:r>
        <w:rPr>
          <w:rFonts w:ascii="Times New Roman" w:hAnsi="Times New Roman"/>
        </w:rPr>
        <w:t>”</w:t>
      </w:r>
      <w:r>
        <w:rPr>
          <w:rFonts w:hint="eastAsia" w:ascii="Times New Roman"/>
        </w:rPr>
        <w:t>依法治国、以人为本的安全生产理念，为贯彻落实《国务院关于进一步加强企业安全生产工作的通知》</w:t>
      </w:r>
      <w:r>
        <w:rPr>
          <w:rFonts w:ascii="Times New Roman" w:hAnsi="Times New Roman"/>
        </w:rPr>
        <w:t>(</w:t>
      </w:r>
      <w:r>
        <w:rPr>
          <w:rFonts w:hint="eastAsia" w:ascii="Times New Roman"/>
        </w:rPr>
        <w:t>国发</w:t>
      </w:r>
      <w:r>
        <w:rPr>
          <w:rFonts w:ascii="Times New Roman" w:hAnsi="Times New Roman"/>
        </w:rPr>
        <w:t>[2010]23</w:t>
      </w:r>
      <w:r>
        <w:rPr>
          <w:rFonts w:hint="eastAsia" w:ascii="Times New Roman"/>
        </w:rPr>
        <w:t>号</w:t>
      </w:r>
      <w:r>
        <w:rPr>
          <w:rFonts w:ascii="Times New Roman" w:hAnsi="Times New Roman"/>
        </w:rPr>
        <w:t>)</w:t>
      </w:r>
      <w:r>
        <w:rPr>
          <w:rFonts w:hint="eastAsia" w:ascii="Times New Roman"/>
        </w:rPr>
        <w:t>精神，推进安全生产标准化管理，夯实水泥企业岗位达标基础，提高政府和安全主管部门的监督管理水平，改善安全管理状况，规范水泥工厂安全技术操作，避免人员伤亡事故的发生，制定《水泥工厂预分解窑点火投料安全规程》非常必要。</w:t>
      </w:r>
    </w:p>
    <w:p>
      <w:pPr>
        <w:ind w:firstLine="560"/>
        <w:rPr>
          <w:rFonts w:ascii="Times New Roman"/>
        </w:rPr>
      </w:pPr>
      <w:r>
        <w:rPr>
          <w:rFonts w:hint="eastAsia" w:ascii="Times New Roman"/>
        </w:rPr>
        <w:t>经中国建筑材料联合会和全国水泥标准化委员会授权，中国建材检验认证集团股份有限公司承担了《水泥工厂预分解窑点火投料安全规程》标准的编制工作。</w:t>
      </w:r>
    </w:p>
    <w:p>
      <w:pPr>
        <w:ind w:firstLine="562"/>
        <w:jc w:val="left"/>
        <w:rPr>
          <w:rFonts w:asciiTheme="minorEastAsia" w:hAnsiTheme="minorEastAsia"/>
          <w:b/>
          <w:szCs w:val="28"/>
        </w:rPr>
      </w:pPr>
      <w:r>
        <w:rPr>
          <w:rFonts w:ascii="Times New Roman" w:hAnsi="Times New Roman"/>
          <w:b/>
        </w:rPr>
        <w:t>1</w:t>
      </w:r>
      <w:r>
        <w:rPr>
          <w:rFonts w:hint="eastAsia" w:ascii="Times New Roman"/>
          <w:b/>
        </w:rPr>
        <w:t>、编制背景与目的</w:t>
      </w:r>
      <w:r>
        <w:rPr>
          <w:rFonts w:ascii="Times New Roman" w:hAnsi="Times New Roman"/>
          <w:b/>
        </w:rPr>
        <w:t xml:space="preserve"> </w:t>
      </w:r>
    </w:p>
    <w:p>
      <w:pPr>
        <w:ind w:firstLine="549" w:firstLineChars="196"/>
        <w:rPr>
          <w:rFonts w:ascii="Times New Roman" w:hAnsi="Times New Roman"/>
          <w:szCs w:val="28"/>
        </w:rPr>
      </w:pPr>
      <w:r>
        <w:rPr>
          <w:rFonts w:hint="eastAsia" w:ascii="Times New Roman" w:hAnsi="宋体"/>
          <w:bCs/>
          <w:szCs w:val="28"/>
        </w:rPr>
        <w:t>目前，水泥企业新型干法窑炉预分解技术及装备日趋完善，工艺自动化程度越来越高，工艺设备越来越大型化、智能化，尤其是出现了一些新的安全技术要素，比如水泥脱硝系统、余热发电系统、员工安全行为、相关方管理、现场员工职业健康规范、现场事故应急救援等因素，与水泥行业日益成熟的生产工艺和装备水平的矛盾越来越大，因而出现了诸多潜在的安全风险和安全隐患，而在新型干法水泥安全生产技术系统中，仍然出现许多作业安全不规范、安全操作技术掌握不熟练、安全技术不完善、安全管理不到位等现象</w:t>
      </w:r>
      <w:r>
        <w:rPr>
          <w:rFonts w:ascii="Times New Roman" w:hAnsi="Times New Roman"/>
          <w:bCs/>
          <w:szCs w:val="28"/>
        </w:rPr>
        <w:t>,</w:t>
      </w:r>
      <w:r>
        <w:rPr>
          <w:rFonts w:hint="eastAsia" w:ascii="Times New Roman" w:hAnsi="宋体"/>
          <w:bCs/>
          <w:szCs w:val="28"/>
        </w:rPr>
        <w:t>主要原因是人员安全技术水平、管理体制、经营模式、安全理念等因素影响所致，在检、维修、工艺操作中对存在的安全风险往往无法完全掌控，隐患排查治理不彻底。</w:t>
      </w:r>
    </w:p>
    <w:p>
      <w:pPr>
        <w:ind w:firstLine="549" w:firstLineChars="196"/>
        <w:rPr>
          <w:rFonts w:ascii="Times New Roman" w:hAnsi="Times New Roman"/>
          <w:szCs w:val="28"/>
        </w:rPr>
      </w:pPr>
      <w:r>
        <w:rPr>
          <w:rFonts w:hint="eastAsia" w:ascii="Times New Roman" w:hAnsi="宋体"/>
          <w:bCs/>
          <w:szCs w:val="28"/>
        </w:rPr>
        <w:t>随着水泥行业安全生产标准化创建达标工作的逐步推行，对水泥企业安全技术和安全管理工作提出了越来越高的要求，通过对水泥生产安全技术规程进行梳理，推进安全生产标准化有效运行，切实提高安全生产标准化整体水平，夯实水泥企业安全岗位达标基础。</w:t>
      </w:r>
    </w:p>
    <w:p>
      <w:pPr>
        <w:ind w:firstLine="560"/>
        <w:rPr>
          <w:rFonts w:ascii="Times New Roman" w:hAnsi="宋体"/>
          <w:bCs/>
          <w:szCs w:val="28"/>
        </w:rPr>
      </w:pPr>
      <w:r>
        <w:rPr>
          <w:rFonts w:hint="eastAsia" w:ascii="Times New Roman" w:hAnsi="宋体"/>
          <w:bCs/>
          <w:szCs w:val="28"/>
        </w:rPr>
        <w:t>为加强水泥企业安全标准化达标工作的针对性和操作性，通过对水泥生产中的安全管理各环节进行调研、梳理，同时结合安全标准化岗位达标工作，制定出真正适合水泥企业各个主要工艺环节的安全技术规程，以进一步落实安全生产主体责任，从而提高企业安全管理能力，提升员工安全管理素质和技能。本标准的制定主要体现在预分解窑点火投料环节安全规程和安全技术要求。</w:t>
      </w:r>
    </w:p>
    <w:p>
      <w:pPr>
        <w:ind w:firstLine="562"/>
        <w:rPr>
          <w:rFonts w:ascii="Times New Roman" w:hAnsi="Times New Roman"/>
          <w:b/>
          <w:bCs/>
        </w:rPr>
      </w:pPr>
      <w:r>
        <w:rPr>
          <w:rFonts w:ascii="Times New Roman" w:hAnsi="Times New Roman"/>
          <w:b/>
        </w:rPr>
        <w:t>2</w:t>
      </w:r>
      <w:r>
        <w:rPr>
          <w:rFonts w:hint="eastAsia" w:ascii="Times New Roman"/>
          <w:b/>
        </w:rPr>
        <w:t>、编写指导思想</w:t>
      </w:r>
    </w:p>
    <w:p>
      <w:pPr>
        <w:ind w:firstLine="560"/>
        <w:rPr>
          <w:rFonts w:ascii="Times New Roman" w:hAnsi="宋体"/>
          <w:bCs/>
          <w:szCs w:val="28"/>
        </w:rPr>
      </w:pPr>
      <w:r>
        <w:rPr>
          <w:rFonts w:hint="eastAsia" w:ascii="Times New Roman" w:hAnsi="宋体"/>
          <w:bCs/>
          <w:szCs w:val="28"/>
        </w:rPr>
        <w:t>在编写中，坚持</w:t>
      </w:r>
      <w:r>
        <w:rPr>
          <w:rFonts w:ascii="Times New Roman" w:hAnsi="Times New Roman"/>
          <w:bCs/>
          <w:szCs w:val="28"/>
        </w:rPr>
        <w:t>“</w:t>
      </w:r>
      <w:r>
        <w:rPr>
          <w:rFonts w:hint="eastAsia" w:ascii="Times New Roman" w:hAnsi="宋体"/>
          <w:bCs/>
          <w:szCs w:val="28"/>
        </w:rPr>
        <w:t>现场、现物、现实</w:t>
      </w:r>
      <w:r>
        <w:rPr>
          <w:rFonts w:ascii="Times New Roman" w:hAnsi="Times New Roman"/>
          <w:bCs/>
          <w:szCs w:val="28"/>
        </w:rPr>
        <w:t>”</w:t>
      </w:r>
      <w:r>
        <w:rPr>
          <w:rFonts w:hint="eastAsia" w:ascii="Times New Roman" w:hAnsi="宋体"/>
          <w:bCs/>
          <w:szCs w:val="28"/>
        </w:rPr>
        <w:t>为出发点，遵循</w:t>
      </w:r>
      <w:r>
        <w:rPr>
          <w:rFonts w:ascii="Times New Roman" w:hAnsi="Times New Roman"/>
          <w:bCs/>
          <w:szCs w:val="28"/>
        </w:rPr>
        <w:t>“</w:t>
      </w:r>
      <w:r>
        <w:rPr>
          <w:rFonts w:hint="eastAsia" w:ascii="Times New Roman" w:hAnsi="宋体"/>
          <w:bCs/>
          <w:szCs w:val="28"/>
        </w:rPr>
        <w:t>以人为本，持续改善</w:t>
      </w:r>
      <w:r>
        <w:rPr>
          <w:rFonts w:ascii="Times New Roman" w:hAnsi="Times New Roman"/>
          <w:bCs/>
          <w:szCs w:val="28"/>
        </w:rPr>
        <w:t>”</w:t>
      </w:r>
      <w:r>
        <w:rPr>
          <w:rFonts w:hint="eastAsia" w:ascii="Times New Roman" w:hAnsi="宋体"/>
          <w:bCs/>
          <w:szCs w:val="28"/>
        </w:rPr>
        <w:t>的安全理念，通过对开展安全标准化建设工作和运行情况进行切实总结，实现公司安全生产的</w:t>
      </w:r>
      <w:r>
        <w:rPr>
          <w:rFonts w:ascii="Times New Roman" w:hAnsi="Times New Roman"/>
          <w:bCs/>
          <w:szCs w:val="28"/>
        </w:rPr>
        <w:t>“</w:t>
      </w:r>
      <w:r>
        <w:rPr>
          <w:rFonts w:hint="eastAsia" w:ascii="Times New Roman" w:hAnsi="宋体"/>
          <w:bCs/>
          <w:szCs w:val="28"/>
        </w:rPr>
        <w:t>闭环</w:t>
      </w:r>
      <w:r>
        <w:rPr>
          <w:rFonts w:ascii="Times New Roman" w:hAnsi="Times New Roman"/>
          <w:bCs/>
          <w:szCs w:val="28"/>
        </w:rPr>
        <w:t>”</w:t>
      </w:r>
      <w:r>
        <w:rPr>
          <w:rFonts w:hint="eastAsia" w:ascii="Times New Roman" w:hAnsi="宋体"/>
          <w:bCs/>
          <w:szCs w:val="28"/>
        </w:rPr>
        <w:t>管理，逐步建立自我约束、持续改进的安全生产长效机制。</w:t>
      </w:r>
    </w:p>
    <w:p>
      <w:pPr>
        <w:ind w:firstLine="562"/>
        <w:rPr>
          <w:rFonts w:ascii="Times New Roman" w:hAnsi="Times New Roman"/>
          <w:b/>
          <w:bCs/>
          <w:szCs w:val="28"/>
        </w:rPr>
      </w:pPr>
      <w:r>
        <w:rPr>
          <w:rFonts w:ascii="Times New Roman" w:hAnsi="Times New Roman"/>
          <w:b/>
        </w:rPr>
        <w:t>3</w:t>
      </w:r>
      <w:r>
        <w:rPr>
          <w:rFonts w:hint="eastAsia" w:ascii="Times New Roman"/>
          <w:b/>
        </w:rPr>
        <w:t>、涵盖范围</w:t>
      </w:r>
    </w:p>
    <w:p>
      <w:pPr>
        <w:ind w:firstLine="560"/>
        <w:rPr>
          <w:rFonts w:ascii="Times New Roman" w:hAnsi="宋体"/>
          <w:bCs/>
          <w:szCs w:val="28"/>
        </w:rPr>
      </w:pPr>
      <w:r>
        <w:rPr>
          <w:rFonts w:hint="eastAsia" w:ascii="Times New Roman" w:hAnsi="宋体"/>
          <w:bCs/>
          <w:szCs w:val="28"/>
        </w:rPr>
        <w:t>编写范围主要包括新型干法水泥工厂预分解窑点火投料环节中人的不安全行为、物的不安全状态以及各种管理漏洞，重点瞄准点火投料环节相关各部门、工段（班组）以及从业人员的操作行为等以生产技术方面为主的安全规程。</w:t>
      </w:r>
    </w:p>
    <w:p>
      <w:pPr>
        <w:ind w:firstLine="562"/>
        <w:rPr>
          <w:rFonts w:ascii="Times New Roman" w:hAnsi="Times New Roman"/>
          <w:bCs/>
          <w:szCs w:val="28"/>
        </w:rPr>
      </w:pPr>
      <w:r>
        <w:rPr>
          <w:rFonts w:hint="eastAsia" w:ascii="Times New Roman" w:hAnsi="宋体"/>
          <w:b/>
          <w:bCs/>
          <w:szCs w:val="28"/>
        </w:rPr>
        <w:t>4、目前水泥企业生产安全技术现状：</w:t>
      </w:r>
    </w:p>
    <w:p>
      <w:pPr>
        <w:ind w:firstLine="560"/>
        <w:rPr>
          <w:rFonts w:ascii="Times New Roman" w:hAnsi="Times New Roman"/>
          <w:bCs/>
          <w:szCs w:val="28"/>
        </w:rPr>
      </w:pPr>
      <w:r>
        <w:rPr>
          <w:rFonts w:hint="eastAsia" w:ascii="Times New Roman" w:hAnsi="Times New Roman"/>
          <w:bCs/>
          <w:szCs w:val="28"/>
        </w:rPr>
        <w:t>（</w:t>
      </w:r>
      <w:r>
        <w:rPr>
          <w:rFonts w:ascii="Times New Roman" w:hAnsi="Times New Roman"/>
          <w:bCs/>
          <w:szCs w:val="28"/>
        </w:rPr>
        <w:t>1</w:t>
      </w:r>
      <w:r>
        <w:rPr>
          <w:rFonts w:hint="eastAsia" w:ascii="Times New Roman" w:hAnsi="Times New Roman"/>
          <w:bCs/>
          <w:szCs w:val="28"/>
        </w:rPr>
        <w:t>）</w:t>
      </w:r>
      <w:r>
        <w:rPr>
          <w:rFonts w:hint="eastAsia" w:ascii="Times New Roman" w:hAnsi="宋体"/>
          <w:bCs/>
          <w:szCs w:val="28"/>
        </w:rPr>
        <w:t>、安全观念落后，从业人员对安全法规、制度更新落实不到位；</w:t>
      </w:r>
    </w:p>
    <w:p>
      <w:pPr>
        <w:ind w:firstLine="560"/>
        <w:rPr>
          <w:rFonts w:ascii="Times New Roman" w:hAnsi="Times New Roman"/>
          <w:bCs/>
          <w:szCs w:val="28"/>
        </w:rPr>
      </w:pPr>
      <w:r>
        <w:rPr>
          <w:rFonts w:hint="eastAsia" w:ascii="Times New Roman" w:hAnsi="Times New Roman"/>
          <w:bCs/>
          <w:szCs w:val="28"/>
        </w:rPr>
        <w:t>（</w:t>
      </w:r>
      <w:r>
        <w:rPr>
          <w:rFonts w:ascii="Times New Roman" w:hAnsi="Times New Roman"/>
          <w:bCs/>
          <w:szCs w:val="28"/>
        </w:rPr>
        <w:t>2</w:t>
      </w:r>
      <w:r>
        <w:rPr>
          <w:rFonts w:hint="eastAsia" w:ascii="Times New Roman" w:hAnsi="Times New Roman"/>
          <w:bCs/>
          <w:szCs w:val="28"/>
        </w:rPr>
        <w:t>）</w:t>
      </w:r>
      <w:r>
        <w:rPr>
          <w:rFonts w:hint="eastAsia" w:ascii="Times New Roman" w:hAnsi="宋体"/>
          <w:bCs/>
          <w:szCs w:val="28"/>
        </w:rPr>
        <w:t>、从业人员安全操作业务素质较低，存在年龄偏大、农民工较多、人员流动性大、安全意识和安全技能差等现象；</w:t>
      </w:r>
    </w:p>
    <w:p>
      <w:pPr>
        <w:ind w:firstLine="560"/>
        <w:rPr>
          <w:rFonts w:ascii="Times New Roman" w:hAnsi="Times New Roman"/>
          <w:bCs/>
          <w:szCs w:val="28"/>
        </w:rPr>
      </w:pPr>
      <w:r>
        <w:rPr>
          <w:rFonts w:hint="eastAsia" w:ascii="Times New Roman" w:hAnsi="Times New Roman"/>
          <w:bCs/>
          <w:szCs w:val="28"/>
        </w:rPr>
        <w:t>（</w:t>
      </w:r>
      <w:r>
        <w:rPr>
          <w:rFonts w:ascii="Times New Roman" w:hAnsi="Times New Roman"/>
          <w:bCs/>
          <w:szCs w:val="28"/>
        </w:rPr>
        <w:t>3</w:t>
      </w:r>
      <w:r>
        <w:rPr>
          <w:rFonts w:hint="eastAsia" w:ascii="Times New Roman" w:hAnsi="Times New Roman"/>
          <w:bCs/>
          <w:szCs w:val="28"/>
        </w:rPr>
        <w:t>）</w:t>
      </w:r>
      <w:r>
        <w:rPr>
          <w:rFonts w:hint="eastAsia" w:ascii="Times New Roman" w:hAnsi="宋体"/>
          <w:bCs/>
          <w:szCs w:val="28"/>
        </w:rPr>
        <w:t>、行业内部分企业维修、包装等工序环节普遍采用外包模式，存在</w:t>
      </w:r>
      <w:r>
        <w:rPr>
          <w:rFonts w:ascii="Times New Roman" w:hAnsi="Times New Roman"/>
          <w:bCs/>
          <w:szCs w:val="28"/>
        </w:rPr>
        <w:t>“</w:t>
      </w:r>
      <w:r>
        <w:rPr>
          <w:rFonts w:hint="eastAsia" w:ascii="Times New Roman" w:hAnsi="宋体"/>
          <w:bCs/>
          <w:szCs w:val="28"/>
        </w:rPr>
        <w:t>以包代管</w:t>
      </w:r>
      <w:r>
        <w:rPr>
          <w:rFonts w:ascii="Times New Roman" w:hAnsi="Times New Roman"/>
          <w:bCs/>
          <w:szCs w:val="28"/>
        </w:rPr>
        <w:t>”</w:t>
      </w:r>
      <w:r>
        <w:rPr>
          <w:rFonts w:hint="eastAsia" w:ascii="Times New Roman" w:hAnsi="宋体"/>
          <w:bCs/>
          <w:szCs w:val="28"/>
        </w:rPr>
        <w:t>现象，安全责任有明显缺失；</w:t>
      </w:r>
    </w:p>
    <w:p>
      <w:pPr>
        <w:ind w:firstLine="560"/>
        <w:rPr>
          <w:rFonts w:ascii="Times New Roman" w:hAnsi="Times New Roman"/>
          <w:bCs/>
          <w:szCs w:val="28"/>
        </w:rPr>
      </w:pPr>
      <w:r>
        <w:rPr>
          <w:rFonts w:hint="eastAsia" w:ascii="Times New Roman" w:hAnsi="Times New Roman"/>
          <w:bCs/>
          <w:szCs w:val="28"/>
        </w:rPr>
        <w:t>（</w:t>
      </w:r>
      <w:r>
        <w:rPr>
          <w:rFonts w:ascii="Times New Roman" w:hAnsi="Times New Roman"/>
          <w:bCs/>
          <w:szCs w:val="28"/>
        </w:rPr>
        <w:t>4</w:t>
      </w:r>
      <w:r>
        <w:rPr>
          <w:rFonts w:hint="eastAsia" w:ascii="Times New Roman" w:hAnsi="Times New Roman"/>
          <w:bCs/>
          <w:szCs w:val="28"/>
        </w:rPr>
        <w:t>）</w:t>
      </w:r>
      <w:r>
        <w:rPr>
          <w:rFonts w:hint="eastAsia" w:ascii="Times New Roman" w:hAnsi="宋体"/>
          <w:bCs/>
          <w:szCs w:val="28"/>
        </w:rPr>
        <w:t>、行业内许多企业存在管理体制、经营模式、员工行为等方面与目前日益提高的安全管理目标要求差距越来越大；</w:t>
      </w:r>
    </w:p>
    <w:p>
      <w:pPr>
        <w:ind w:firstLine="560"/>
        <w:rPr>
          <w:rFonts w:ascii="Times New Roman" w:hAnsi="Times New Roman"/>
          <w:bCs/>
          <w:szCs w:val="28"/>
        </w:rPr>
      </w:pPr>
      <w:r>
        <w:rPr>
          <w:rFonts w:hint="eastAsia" w:ascii="Times New Roman" w:hAnsi="Times New Roman"/>
          <w:bCs/>
          <w:szCs w:val="28"/>
        </w:rPr>
        <w:t>（</w:t>
      </w:r>
      <w:r>
        <w:rPr>
          <w:rFonts w:ascii="Times New Roman" w:hAnsi="Times New Roman"/>
          <w:bCs/>
          <w:szCs w:val="28"/>
        </w:rPr>
        <w:t>5</w:t>
      </w:r>
      <w:r>
        <w:rPr>
          <w:rFonts w:hint="eastAsia" w:ascii="Times New Roman" w:hAnsi="Times New Roman"/>
          <w:bCs/>
          <w:szCs w:val="28"/>
        </w:rPr>
        <w:t>）</w:t>
      </w:r>
      <w:r>
        <w:rPr>
          <w:rFonts w:hint="eastAsia" w:ascii="Times New Roman" w:hAnsi="宋体"/>
          <w:bCs/>
          <w:szCs w:val="28"/>
        </w:rPr>
        <w:t>、由于效益不好等原因造成安全投入不到位；</w:t>
      </w:r>
    </w:p>
    <w:p>
      <w:pPr>
        <w:ind w:firstLine="560"/>
        <w:rPr>
          <w:rFonts w:ascii="Times New Roman" w:hAnsi="Times New Roman"/>
          <w:bCs/>
          <w:szCs w:val="28"/>
        </w:rPr>
      </w:pPr>
      <w:r>
        <w:rPr>
          <w:rFonts w:hint="eastAsia" w:ascii="Times New Roman" w:hAnsi="Times New Roman"/>
          <w:bCs/>
          <w:szCs w:val="28"/>
        </w:rPr>
        <w:t>（</w:t>
      </w:r>
      <w:r>
        <w:rPr>
          <w:rFonts w:ascii="Times New Roman" w:hAnsi="Times New Roman"/>
          <w:bCs/>
          <w:szCs w:val="28"/>
        </w:rPr>
        <w:t>6</w:t>
      </w:r>
      <w:r>
        <w:rPr>
          <w:rFonts w:hint="eastAsia" w:ascii="Times New Roman" w:hAnsi="Times New Roman"/>
          <w:bCs/>
          <w:szCs w:val="28"/>
        </w:rPr>
        <w:t>）</w:t>
      </w:r>
      <w:r>
        <w:rPr>
          <w:rFonts w:hint="eastAsia" w:ascii="Times New Roman" w:hAnsi="宋体"/>
          <w:bCs/>
          <w:szCs w:val="28"/>
        </w:rPr>
        <w:t>、部分企业维修技术水平落后，管理经验欠缺，本质安全生产条件差，部分企业检维修等方面资质不全；</w:t>
      </w:r>
    </w:p>
    <w:p>
      <w:pPr>
        <w:ind w:firstLine="560"/>
        <w:rPr>
          <w:rFonts w:ascii="Times New Roman" w:hAnsi="宋体"/>
          <w:bCs/>
          <w:szCs w:val="28"/>
        </w:rPr>
      </w:pPr>
      <w:r>
        <w:rPr>
          <w:rFonts w:hint="eastAsia" w:ascii="Times New Roman" w:hAnsi="Times New Roman"/>
          <w:bCs/>
          <w:szCs w:val="28"/>
        </w:rPr>
        <w:t>（</w:t>
      </w:r>
      <w:r>
        <w:rPr>
          <w:rFonts w:ascii="Times New Roman" w:hAnsi="Times New Roman"/>
          <w:bCs/>
          <w:szCs w:val="28"/>
        </w:rPr>
        <w:t>7</w:t>
      </w:r>
      <w:r>
        <w:rPr>
          <w:rFonts w:hint="eastAsia" w:ascii="Times New Roman" w:hAnsi="Times New Roman"/>
          <w:bCs/>
          <w:szCs w:val="28"/>
        </w:rPr>
        <w:t>）</w:t>
      </w:r>
      <w:r>
        <w:rPr>
          <w:rFonts w:hint="eastAsia" w:ascii="Times New Roman" w:hAnsi="宋体"/>
          <w:bCs/>
          <w:szCs w:val="28"/>
        </w:rPr>
        <w:t>、在特种作业、特种设备、机动车辆、危化品等环节，存在行业监管与市场经营现状脱节。</w:t>
      </w:r>
    </w:p>
    <w:p>
      <w:pPr>
        <w:ind w:firstLine="560"/>
        <w:rPr>
          <w:rFonts w:ascii="Times New Roman" w:hAnsi="Times New Roman"/>
          <w:bCs/>
          <w:szCs w:val="28"/>
        </w:rPr>
      </w:pPr>
      <w:r>
        <w:rPr>
          <w:rFonts w:hint="eastAsia" w:ascii="Times New Roman" w:hAnsi="宋体"/>
          <w:bCs/>
          <w:szCs w:val="28"/>
        </w:rPr>
        <w:t>（8）、在预分解窑点火投料环节中，不能完全辨识出安全风险和存在的隐患，容易发生</w:t>
      </w:r>
      <w:r>
        <w:rPr>
          <w:rFonts w:hint="eastAsia" w:asciiTheme="minorEastAsia" w:hAnsiTheme="minorEastAsia"/>
          <w:szCs w:val="28"/>
        </w:rPr>
        <w:t>机械伤害、起重伤害、火灾、灼烫、高处坠物和触电伤害等安全隐患。职业健康方面涉及粉尘、噪声和热辐射等职业危害。</w:t>
      </w:r>
    </w:p>
    <w:p>
      <w:pPr>
        <w:ind w:firstLine="0" w:firstLineChars="0"/>
        <w:rPr>
          <w:rFonts w:asciiTheme="minorEastAsia" w:hAnsiTheme="minorEastAsia"/>
          <w:b/>
          <w:szCs w:val="28"/>
        </w:rPr>
      </w:pPr>
      <w:r>
        <w:rPr>
          <w:rFonts w:hint="eastAsia"/>
          <w:b/>
        </w:rPr>
        <w:t>二、</w:t>
      </w:r>
      <w:r>
        <w:rPr>
          <w:rFonts w:hint="eastAsia" w:asciiTheme="minorEastAsia" w:hAnsiTheme="minorEastAsia"/>
          <w:b/>
          <w:szCs w:val="28"/>
        </w:rPr>
        <w:t>项目来源</w:t>
      </w:r>
    </w:p>
    <w:p>
      <w:pPr>
        <w:ind w:firstLine="560"/>
        <w:rPr>
          <w:rFonts w:asciiTheme="minorEastAsia" w:hAnsiTheme="minorEastAsia"/>
          <w:szCs w:val="28"/>
        </w:rPr>
      </w:pPr>
      <w:r>
        <w:rPr>
          <w:rFonts w:hint="eastAsia" w:asciiTheme="minorEastAsia" w:hAnsiTheme="minorEastAsia"/>
          <w:szCs w:val="28"/>
        </w:rPr>
        <w:t>中国建筑材料联合会   全国水泥标准化委员会</w:t>
      </w:r>
    </w:p>
    <w:p>
      <w:pPr>
        <w:ind w:firstLine="0" w:firstLineChars="0"/>
        <w:rPr>
          <w:rFonts w:asciiTheme="minorEastAsia" w:hAnsiTheme="minorEastAsia"/>
          <w:b/>
          <w:szCs w:val="28"/>
        </w:rPr>
      </w:pPr>
      <w:r>
        <w:rPr>
          <w:rFonts w:hint="eastAsia" w:asciiTheme="minorEastAsia" w:hAnsiTheme="minorEastAsia"/>
          <w:b/>
          <w:szCs w:val="28"/>
        </w:rPr>
        <w:t>三、参编单位</w:t>
      </w:r>
    </w:p>
    <w:p>
      <w:pPr>
        <w:ind w:firstLine="0" w:firstLineChars="0"/>
        <w:rPr>
          <w:rFonts w:asciiTheme="minorEastAsia" w:hAnsiTheme="minorEastAsia"/>
          <w:szCs w:val="28"/>
        </w:rPr>
      </w:pPr>
      <w:r>
        <w:rPr>
          <w:rFonts w:hint="eastAsia" w:asciiTheme="minorEastAsia" w:hAnsiTheme="minorEastAsia"/>
          <w:szCs w:val="28"/>
        </w:rPr>
        <w:t xml:space="preserve">    中国建材检验认证集团股份有限公司</w:t>
      </w:r>
    </w:p>
    <w:p>
      <w:pPr>
        <w:ind w:firstLine="0" w:firstLineChars="0"/>
        <w:rPr>
          <w:rFonts w:hint="eastAsia" w:asciiTheme="minorEastAsia" w:hAnsiTheme="minorEastAsia"/>
          <w:b/>
          <w:szCs w:val="28"/>
        </w:rPr>
      </w:pPr>
      <w:r>
        <w:rPr>
          <w:rFonts w:hint="eastAsia" w:asciiTheme="minorEastAsia" w:hAnsiTheme="minorEastAsia"/>
          <w:b/>
          <w:szCs w:val="28"/>
        </w:rPr>
        <w:t>四、标准的制定原则</w:t>
      </w:r>
    </w:p>
    <w:p>
      <w:pPr>
        <w:ind w:firstLine="560"/>
        <w:rPr>
          <w:rFonts w:ascii="Times New Roman" w:hAnsi="Times New Roman"/>
        </w:rPr>
      </w:pPr>
      <w:r>
        <w:rPr>
          <w:rFonts w:ascii="Times New Roman" w:hAnsi="Times New Roman"/>
        </w:rPr>
        <w:t>1</w:t>
      </w:r>
      <w:r>
        <w:rPr>
          <w:rFonts w:hint="eastAsia" w:ascii="Times New Roman"/>
        </w:rPr>
        <w:t>、以国家有关安全生产的法律、法规、标准、规范、政策为依据，符合《中华人民共和国安全生产法》的要求，与水泥行业安全生产相关的规定一致；</w:t>
      </w:r>
    </w:p>
    <w:p>
      <w:pPr>
        <w:ind w:firstLine="560"/>
        <w:rPr>
          <w:rFonts w:ascii="Times New Roman" w:hAnsi="Times New Roman"/>
        </w:rPr>
      </w:pPr>
      <w:r>
        <w:rPr>
          <w:rFonts w:ascii="Times New Roman" w:hAnsi="Times New Roman"/>
        </w:rPr>
        <w:t>2</w:t>
      </w:r>
      <w:r>
        <w:rPr>
          <w:rFonts w:hint="eastAsia" w:ascii="Times New Roman"/>
        </w:rPr>
        <w:t>、为确保该项标准适合我国的水泥生产现状，在标准的制定过程中充分考虑我国的国情，吸收我国水泥工厂生产安全方面实际工作及管理、经营经验，满足现实工作的要求，适应水泥企业新的发展形势，体现水泥企业预分解窑点火投料的生产安全操作等方面的安全措施，具有科学、有效、实用的特点，作为推荐性的安全生产行业标准；</w:t>
      </w:r>
    </w:p>
    <w:p>
      <w:pPr>
        <w:ind w:firstLine="560"/>
        <w:rPr>
          <w:rFonts w:ascii="Times New Roman" w:hAnsi="Times New Roman"/>
        </w:rPr>
      </w:pPr>
      <w:r>
        <w:rPr>
          <w:rFonts w:ascii="Times New Roman" w:hAnsi="Times New Roman"/>
        </w:rPr>
        <w:t>3</w:t>
      </w:r>
      <w:r>
        <w:rPr>
          <w:rFonts w:hint="eastAsia" w:ascii="Times New Roman"/>
        </w:rPr>
        <w:t>、标准的起草工作组成员具有较广泛的代表性，并充分发挥企业在标准制定工作中的重要作用。</w:t>
      </w:r>
    </w:p>
    <w:p>
      <w:pPr>
        <w:ind w:firstLine="0" w:firstLineChars="0"/>
        <w:rPr>
          <w:rFonts w:hint="eastAsia" w:asciiTheme="minorEastAsia" w:hAnsiTheme="minorEastAsia"/>
          <w:b/>
          <w:szCs w:val="28"/>
        </w:rPr>
      </w:pPr>
      <w:r>
        <w:rPr>
          <w:rFonts w:hint="eastAsia" w:asciiTheme="minorEastAsia" w:hAnsiTheme="minorEastAsia"/>
          <w:b/>
          <w:szCs w:val="28"/>
        </w:rPr>
        <w:t>五、编制过程</w:t>
      </w:r>
    </w:p>
    <w:p>
      <w:pPr>
        <w:ind w:firstLineChars="0"/>
        <w:jc w:val="left"/>
        <w:rPr>
          <w:rFonts w:asciiTheme="minorEastAsia" w:hAnsiTheme="minorEastAsia"/>
          <w:szCs w:val="28"/>
        </w:rPr>
      </w:pPr>
      <w:r>
        <w:rPr>
          <w:rFonts w:hint="eastAsia" w:asciiTheme="minorEastAsia" w:hAnsiTheme="minorEastAsia"/>
          <w:szCs w:val="28"/>
        </w:rPr>
        <w:t>1.前期的现场调查研究</w:t>
      </w:r>
    </w:p>
    <w:p>
      <w:pPr>
        <w:ind w:firstLine="560"/>
        <w:jc w:val="left"/>
        <w:rPr>
          <w:rFonts w:asciiTheme="minorEastAsia" w:hAnsiTheme="minorEastAsia"/>
          <w:szCs w:val="28"/>
        </w:rPr>
      </w:pPr>
      <w:r>
        <w:rPr>
          <w:rFonts w:hint="eastAsia" w:asciiTheme="minorEastAsia" w:hAnsiTheme="minorEastAsia"/>
          <w:szCs w:val="28"/>
        </w:rPr>
        <w:t>2015年7月，标准起草小组负责人刘文长和石兴一行二人前往山水集团葫芦岛水泥有限公司开展现场调研工作。调研小组用了两天时间，通过现场参观和交流的形式，了解和调查了水泥窑点火和投料过程中危险因素，并对这些危险因素的采取的安全防护措施进行了现场询问，初步掌握了点火投料过程中的危害因素，工厂对这些危害采取的相应的其安全管理措施的有效性进行了评估。从点火投料过程、危险因素辨识、安全操作规程、相关设备、部门、安全防护、职业卫生以及重点危险操作和场所入手，进行了充分的调查研究。</w:t>
      </w:r>
    </w:p>
    <w:p>
      <w:pPr>
        <w:ind w:firstLine="0" w:firstLineChars="0"/>
        <w:jc w:val="left"/>
        <w:rPr>
          <w:rFonts w:asciiTheme="minorEastAsia" w:hAnsiTheme="minorEastAsia"/>
          <w:szCs w:val="28"/>
        </w:rPr>
      </w:pPr>
      <w:r>
        <w:rPr>
          <w:rFonts w:hint="eastAsia" w:asciiTheme="minorEastAsia" w:hAnsiTheme="minorEastAsia"/>
          <w:szCs w:val="28"/>
        </w:rPr>
        <w:t>2.资料的收集和统计</w:t>
      </w:r>
    </w:p>
    <w:p>
      <w:pPr>
        <w:ind w:firstLine="560"/>
        <w:jc w:val="left"/>
        <w:rPr>
          <w:rFonts w:asciiTheme="minorEastAsia" w:hAnsiTheme="minorEastAsia"/>
          <w:szCs w:val="28"/>
        </w:rPr>
      </w:pPr>
      <w:r>
        <w:rPr>
          <w:rFonts w:hint="eastAsia" w:asciiTheme="minorEastAsia" w:hAnsiTheme="minorEastAsia"/>
          <w:szCs w:val="28"/>
        </w:rPr>
        <w:t>标准起草人刘文长分别联系了华润水泥田阳有限公司、华润水泥平南有限公司、拉法基兴发水泥有限公司、广州市珠江水泥有限公司、中联水泥鲁南有限公司、北方水泥汪清有限公司、华润水泥长治有限公司和山水集团葫芦岛水泥有限公司，共计8个企业。都分别提供了企业的点火投料的相关资料，给与了很大帮助。</w:t>
      </w:r>
    </w:p>
    <w:p>
      <w:pPr>
        <w:ind w:firstLine="0" w:firstLineChars="0"/>
        <w:rPr>
          <w:rFonts w:hint="eastAsia" w:asciiTheme="minorEastAsia" w:hAnsiTheme="minorEastAsia"/>
          <w:b/>
          <w:szCs w:val="28"/>
        </w:rPr>
      </w:pPr>
      <w:r>
        <w:rPr>
          <w:rFonts w:hint="eastAsia" w:asciiTheme="minorEastAsia" w:hAnsiTheme="minorEastAsia"/>
          <w:b/>
          <w:szCs w:val="28"/>
        </w:rPr>
        <w:t>六、标准主要内容：</w:t>
      </w:r>
    </w:p>
    <w:p>
      <w:pPr>
        <w:ind w:firstLine="560"/>
        <w:rPr>
          <w:rFonts w:asciiTheme="minorEastAsia" w:hAnsiTheme="minorEastAsia"/>
          <w:szCs w:val="28"/>
        </w:rPr>
      </w:pPr>
      <w:r>
        <w:rPr>
          <w:rFonts w:hint="eastAsia" w:asciiTheme="minorEastAsia" w:hAnsiTheme="minorEastAsia" w:eastAsiaTheme="minorEastAsia"/>
          <w:szCs w:val="28"/>
        </w:rPr>
        <w:t>本标准规定了预分解窑点火和投料人员基本要求、安全措施、应急处理、验收要求。</w:t>
      </w:r>
    </w:p>
    <w:p>
      <w:pPr>
        <w:ind w:firstLine="560"/>
        <w:rPr>
          <w:rFonts w:asciiTheme="minorEastAsia" w:hAnsiTheme="minorEastAsia"/>
          <w:szCs w:val="28"/>
        </w:rPr>
      </w:pPr>
      <w:r>
        <w:rPr>
          <w:rFonts w:hint="eastAsia" w:asciiTheme="minorEastAsia" w:hAnsiTheme="minorEastAsia"/>
          <w:szCs w:val="28"/>
        </w:rPr>
        <w:t>本标准适用于水泥工厂预分解窑点火和投料作业。</w:t>
      </w:r>
    </w:p>
    <w:p>
      <w:pPr>
        <w:ind w:firstLine="560"/>
        <w:jc w:val="left"/>
        <w:rPr>
          <w:rFonts w:asciiTheme="minorEastAsia" w:hAnsiTheme="minorEastAsia"/>
          <w:szCs w:val="28"/>
        </w:rPr>
      </w:pPr>
      <w:r>
        <w:rPr>
          <w:rFonts w:hint="eastAsia" w:asciiTheme="minorEastAsia" w:hAnsiTheme="minorEastAsia"/>
          <w:szCs w:val="28"/>
        </w:rPr>
        <w:t>标准的框架结构：</w:t>
      </w:r>
    </w:p>
    <w:p>
      <w:pPr>
        <w:ind w:firstLine="560"/>
        <w:jc w:val="left"/>
        <w:rPr>
          <w:rFonts w:asciiTheme="minorEastAsia" w:hAnsiTheme="minorEastAsia"/>
          <w:szCs w:val="28"/>
        </w:rPr>
      </w:pPr>
      <w:r>
        <w:rPr>
          <w:rFonts w:hint="eastAsia" w:asciiTheme="minorEastAsia" w:hAnsiTheme="minorEastAsia"/>
          <w:szCs w:val="28"/>
        </w:rPr>
        <w:t>本标准作为一个安全规程，涉及的事故危害主要有：机械伤害、起重伤害、火灾、灼烫、高处坠物和触电伤害等。职业健康方面涉及粉尘、噪声和热辐射。我们正对这些事故伤害和职业健康危害，编制相应的安全规程。</w:t>
      </w:r>
    </w:p>
    <w:p>
      <w:pPr>
        <w:ind w:firstLine="560"/>
        <w:jc w:val="left"/>
        <w:rPr>
          <w:rFonts w:asciiTheme="minorEastAsia" w:hAnsiTheme="minorEastAsia"/>
          <w:szCs w:val="28"/>
        </w:rPr>
      </w:pPr>
      <w:r>
        <w:rPr>
          <w:rFonts w:hint="eastAsia" w:asciiTheme="minorEastAsia" w:hAnsiTheme="minorEastAsia"/>
          <w:szCs w:val="28"/>
        </w:rPr>
        <w:t>根据标准的格式，我们制定标准的前言、范围、规范性引用文件、术语和定义、危险因素辨识、安全措施和应急处置内容。其中安全措施作为标准的主要内容，包括基本规定、联络工具、安全防护和操作安全要求。涉及的设备包括预热器系统、回转窑系统和熟料冷却输送系统；安全操作过程包括点火和投料两部分内容。对设备和行为都做了要求。</w:t>
      </w:r>
    </w:p>
    <w:p>
      <w:pPr>
        <w:ind w:firstLine="0" w:firstLineChars="0"/>
        <w:rPr>
          <w:rFonts w:hint="eastAsia" w:asciiTheme="minorEastAsia" w:hAnsiTheme="minorEastAsia"/>
          <w:b/>
          <w:szCs w:val="28"/>
        </w:rPr>
      </w:pPr>
      <w:r>
        <w:rPr>
          <w:rFonts w:hint="eastAsia" w:asciiTheme="minorEastAsia" w:hAnsiTheme="minorEastAsia"/>
          <w:b/>
          <w:szCs w:val="28"/>
        </w:rPr>
        <w:t>七、标准制订意见汇总和采纳情况</w:t>
      </w:r>
      <w:bookmarkStart w:id="4" w:name="_GoBack"/>
      <w:bookmarkEnd w:id="4"/>
      <w:bookmarkStart w:id="1" w:name="_Toc467828982"/>
    </w:p>
    <w:p>
      <w:pPr>
        <w:ind w:firstLine="560"/>
        <w:rPr>
          <w:rFonts w:asciiTheme="minorEastAsia" w:hAnsiTheme="minorEastAsia"/>
          <w:szCs w:val="28"/>
        </w:rPr>
      </w:pPr>
      <w:r>
        <w:rPr>
          <w:rFonts w:hint="eastAsia" w:asciiTheme="minorEastAsia" w:hAnsiTheme="minorEastAsia"/>
          <w:szCs w:val="28"/>
        </w:rPr>
        <w:t>2016年8月份，针对起草的《水泥工厂预分解窑点火投料安全规程》征求意见稿，进行了以信函方式的征求意见活动，到目前为止，已经收到了20个企业和科研院所的回函，对征求意见稿提出了实用而又宝贵的意见，目前标准起草小组正在对这些意见进行统计和梳理，纳入本标准内容中。</w:t>
      </w:r>
    </w:p>
    <w:p>
      <w:pPr>
        <w:ind w:firstLine="0" w:firstLineChars="0"/>
        <w:rPr>
          <w:rFonts w:hint="eastAsia" w:asciiTheme="minorEastAsia" w:hAnsiTheme="minorEastAsia"/>
          <w:b/>
          <w:szCs w:val="28"/>
        </w:rPr>
      </w:pPr>
      <w:r>
        <w:rPr>
          <w:rFonts w:hint="eastAsia" w:asciiTheme="minorEastAsia" w:hAnsiTheme="minorEastAsia"/>
          <w:b/>
          <w:szCs w:val="28"/>
        </w:rPr>
        <w:t>八、标准执行要求</w:t>
      </w:r>
      <w:bookmarkEnd w:id="1"/>
    </w:p>
    <w:p>
      <w:pPr>
        <w:ind w:firstLine="560"/>
        <w:rPr>
          <w:rFonts w:ascii="Times New Roman" w:hAnsi="Times New Roman"/>
        </w:rPr>
      </w:pPr>
      <w:r>
        <w:rPr>
          <w:rFonts w:hint="eastAsia" w:ascii="Times New Roman"/>
        </w:rPr>
        <w:t>建议将本标准按推荐性标准颁布。</w:t>
      </w:r>
    </w:p>
    <w:p>
      <w:pPr>
        <w:ind w:firstLine="560"/>
        <w:rPr>
          <w:rFonts w:ascii="Times New Roman"/>
        </w:rPr>
      </w:pPr>
      <w:r>
        <w:rPr>
          <w:rFonts w:hint="eastAsia" w:ascii="Times New Roman"/>
        </w:rPr>
        <w:t>本标准为首次制定。</w:t>
      </w:r>
      <w:bookmarkStart w:id="2" w:name="_Toc467828983"/>
    </w:p>
    <w:p>
      <w:pPr>
        <w:ind w:firstLine="0" w:firstLineChars="0"/>
        <w:rPr>
          <w:rFonts w:ascii="Times New Roman"/>
        </w:rPr>
      </w:pPr>
      <w:r>
        <w:rPr>
          <w:rFonts w:hint="eastAsia" w:asciiTheme="minorEastAsia" w:hAnsiTheme="minorEastAsia"/>
          <w:b/>
          <w:szCs w:val="28"/>
        </w:rPr>
        <w:t>九、废止现行有关标准的建议</w:t>
      </w:r>
      <w:bookmarkEnd w:id="2"/>
      <w:r>
        <w:rPr>
          <w:rFonts w:ascii="Times New Roman"/>
        </w:rPr>
        <w:t xml:space="preserve">    </w:t>
      </w:r>
    </w:p>
    <w:p>
      <w:pPr>
        <w:ind w:firstLine="560"/>
        <w:rPr>
          <w:rFonts w:ascii="Times New Roman" w:hAnsi="Times New Roman"/>
        </w:rPr>
      </w:pPr>
      <w:r>
        <w:rPr>
          <w:rFonts w:hint="eastAsia" w:ascii="Times New Roman" w:hAnsi="Times New Roman"/>
        </w:rPr>
        <w:t>无。</w:t>
      </w:r>
      <w:bookmarkStart w:id="3" w:name="_Toc467828984"/>
    </w:p>
    <w:p>
      <w:pPr>
        <w:ind w:firstLine="0" w:firstLineChars="0"/>
        <w:rPr>
          <w:rFonts w:ascii="Times New Roman" w:hAnsi="Times New Roman"/>
        </w:rPr>
      </w:pPr>
      <w:r>
        <w:rPr>
          <w:rFonts w:hint="eastAsia" w:asciiTheme="minorEastAsia" w:hAnsiTheme="minorEastAsia"/>
          <w:b/>
          <w:szCs w:val="28"/>
        </w:rPr>
        <w:t>十、其它应予说明的事项</w:t>
      </w:r>
      <w:bookmarkEnd w:id="3"/>
      <w:r>
        <w:rPr>
          <w:rFonts w:hint="eastAsia" w:asciiTheme="minorEastAsia" w:hAnsiTheme="minorEastAsia"/>
          <w:b/>
          <w:szCs w:val="28"/>
        </w:rPr>
        <w:t xml:space="preserve"> </w:t>
      </w:r>
      <w:r>
        <w:rPr>
          <w:rFonts w:ascii="Times New Roman"/>
        </w:rPr>
        <w:t xml:space="preserve">   </w:t>
      </w:r>
    </w:p>
    <w:p>
      <w:pPr>
        <w:ind w:firstLine="560"/>
        <w:rPr>
          <w:rFonts w:ascii="Times New Roman" w:hAnsi="Times New Roman"/>
        </w:rPr>
      </w:pPr>
      <w:r>
        <w:rPr>
          <w:rFonts w:hint="eastAsia" w:ascii="Times New Roman" w:hAnsi="Times New Roman"/>
        </w:rPr>
        <w:t>无。</w:t>
      </w:r>
    </w:p>
    <w:p>
      <w:pPr>
        <w:ind w:firstLine="560"/>
        <w:rPr>
          <w:rFonts w:ascii="Times New Roman" w:hAnsi="Times New Roman"/>
        </w:rPr>
      </w:pPr>
    </w:p>
    <w:p>
      <w:pPr>
        <w:ind w:firstLine="560"/>
        <w:rPr>
          <w:rFonts w:ascii="Times New Roman" w:hAnsi="Times New Roman"/>
        </w:rPr>
      </w:pPr>
    </w:p>
    <w:sectPr>
      <w:footerReference r:id="rId9"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t>1</w:t>
    </w:r>
  </w:p>
  <w:p>
    <w:pPr>
      <w:pStyle w:val="8"/>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8</w:t>
    </w:r>
    <w:r>
      <w:rPr>
        <w:lang w:val="zh-CN"/>
      </w:rPr>
      <w:fldChar w:fldCharType="end"/>
    </w:r>
  </w:p>
  <w:p>
    <w:pPr>
      <w:pStyle w:val="8"/>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rFonts w:hint="eastAsia"/>
      </w:rPr>
      <w:t>《新型干法水泥生产安全规程》编制说明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rFonts w:hint="eastAsia"/>
      </w:rPr>
      <w:t>《水泥工厂预分解窑点火投料安全规程》编制说明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40"/>
  <w:drawingGridVerticalSpacing w:val="38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C0F"/>
    <w:rsid w:val="00046735"/>
    <w:rsid w:val="00067096"/>
    <w:rsid w:val="00071F85"/>
    <w:rsid w:val="0009786B"/>
    <w:rsid w:val="000A3191"/>
    <w:rsid w:val="000F1BE0"/>
    <w:rsid w:val="00127443"/>
    <w:rsid w:val="00156612"/>
    <w:rsid w:val="00161778"/>
    <w:rsid w:val="001B1F70"/>
    <w:rsid w:val="001B4B1D"/>
    <w:rsid w:val="001D388F"/>
    <w:rsid w:val="001E728C"/>
    <w:rsid w:val="001F3AC7"/>
    <w:rsid w:val="00310CF5"/>
    <w:rsid w:val="00316FD2"/>
    <w:rsid w:val="003971A4"/>
    <w:rsid w:val="003C47A0"/>
    <w:rsid w:val="003D6558"/>
    <w:rsid w:val="00402B66"/>
    <w:rsid w:val="0042535F"/>
    <w:rsid w:val="004666B4"/>
    <w:rsid w:val="004722B7"/>
    <w:rsid w:val="005657B9"/>
    <w:rsid w:val="005837BB"/>
    <w:rsid w:val="00594C39"/>
    <w:rsid w:val="005A177B"/>
    <w:rsid w:val="005E2927"/>
    <w:rsid w:val="00614EB3"/>
    <w:rsid w:val="0062654E"/>
    <w:rsid w:val="0064593C"/>
    <w:rsid w:val="00676D41"/>
    <w:rsid w:val="0068229B"/>
    <w:rsid w:val="006A7381"/>
    <w:rsid w:val="006D75AC"/>
    <w:rsid w:val="006F707E"/>
    <w:rsid w:val="0072110F"/>
    <w:rsid w:val="0072530B"/>
    <w:rsid w:val="007355E1"/>
    <w:rsid w:val="0074143B"/>
    <w:rsid w:val="007B43DA"/>
    <w:rsid w:val="007C341A"/>
    <w:rsid w:val="007D0E70"/>
    <w:rsid w:val="007E1344"/>
    <w:rsid w:val="007E2F98"/>
    <w:rsid w:val="00811B32"/>
    <w:rsid w:val="00842ADC"/>
    <w:rsid w:val="00851EA8"/>
    <w:rsid w:val="00852F6C"/>
    <w:rsid w:val="00883661"/>
    <w:rsid w:val="008D7409"/>
    <w:rsid w:val="008E03AB"/>
    <w:rsid w:val="008F2E5C"/>
    <w:rsid w:val="00904AC5"/>
    <w:rsid w:val="009458AA"/>
    <w:rsid w:val="00971981"/>
    <w:rsid w:val="009A4663"/>
    <w:rsid w:val="009C7F0E"/>
    <w:rsid w:val="009E779A"/>
    <w:rsid w:val="00A82DC9"/>
    <w:rsid w:val="00AB7522"/>
    <w:rsid w:val="00AD29AE"/>
    <w:rsid w:val="00AF60DE"/>
    <w:rsid w:val="00B361A2"/>
    <w:rsid w:val="00B57A5B"/>
    <w:rsid w:val="00B66EE4"/>
    <w:rsid w:val="00BC08CA"/>
    <w:rsid w:val="00BF3314"/>
    <w:rsid w:val="00C075D2"/>
    <w:rsid w:val="00C306B5"/>
    <w:rsid w:val="00C71A6D"/>
    <w:rsid w:val="00C8724B"/>
    <w:rsid w:val="00C87D80"/>
    <w:rsid w:val="00CB765B"/>
    <w:rsid w:val="00D16F35"/>
    <w:rsid w:val="00D21765"/>
    <w:rsid w:val="00DC74FA"/>
    <w:rsid w:val="00E125D9"/>
    <w:rsid w:val="00E55C0F"/>
    <w:rsid w:val="00E71E4A"/>
    <w:rsid w:val="00E87B1C"/>
    <w:rsid w:val="00E910A7"/>
    <w:rsid w:val="00FE5714"/>
    <w:rsid w:val="00FF4000"/>
    <w:rsid w:val="5E2662A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8"/>
      <w:szCs w:val="22"/>
      <w:lang w:val="en-US" w:eastAsia="zh-CN" w:bidi="ar-SA"/>
    </w:rPr>
  </w:style>
  <w:style w:type="paragraph" w:styleId="2">
    <w:name w:val="heading 1"/>
    <w:basedOn w:val="1"/>
    <w:next w:val="1"/>
    <w:link w:val="15"/>
    <w:qFormat/>
    <w:uiPriority w:val="99"/>
    <w:pPr>
      <w:keepNext/>
      <w:keepLines/>
      <w:spacing w:before="340" w:after="330" w:line="480" w:lineRule="auto"/>
      <w:outlineLvl w:val="0"/>
    </w:pPr>
    <w:rPr>
      <w:b/>
      <w:bCs/>
      <w:kern w:val="44"/>
      <w:szCs w:val="44"/>
    </w:rPr>
  </w:style>
  <w:style w:type="paragraph" w:styleId="3">
    <w:name w:val="heading 2"/>
    <w:basedOn w:val="1"/>
    <w:next w:val="1"/>
    <w:link w:val="16"/>
    <w:qFormat/>
    <w:uiPriority w:val="99"/>
    <w:pPr>
      <w:keepNext/>
      <w:keepLines/>
      <w:spacing w:before="260" w:after="260" w:line="416" w:lineRule="auto"/>
      <w:outlineLvl w:val="1"/>
    </w:pPr>
    <w:rPr>
      <w:rFonts w:ascii="Cambria" w:hAnsi="Cambria"/>
      <w:b/>
      <w:bCs/>
      <w:sz w:val="24"/>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19"/>
    <w:semiHidden/>
    <w:uiPriority w:val="99"/>
    <w:rPr>
      <w:rFonts w:ascii="宋体"/>
      <w:sz w:val="18"/>
      <w:szCs w:val="18"/>
    </w:rPr>
  </w:style>
  <w:style w:type="paragraph" w:styleId="6">
    <w:name w:val="toc 3"/>
    <w:basedOn w:val="1"/>
    <w:next w:val="1"/>
    <w:semiHidden/>
    <w:qFormat/>
    <w:uiPriority w:val="99"/>
    <w:pPr>
      <w:widowControl/>
      <w:spacing w:after="100" w:line="276" w:lineRule="auto"/>
      <w:ind w:left="440"/>
      <w:jc w:val="left"/>
    </w:pPr>
    <w:rPr>
      <w:kern w:val="0"/>
      <w:sz w:val="22"/>
    </w:rPr>
  </w:style>
  <w:style w:type="paragraph" w:styleId="7">
    <w:name w:val="Balloon Text"/>
    <w:basedOn w:val="1"/>
    <w:link w:val="18"/>
    <w:semiHidden/>
    <w:uiPriority w:val="99"/>
    <w:rPr>
      <w:sz w:val="18"/>
      <w:szCs w:val="18"/>
    </w:rPr>
  </w:style>
  <w:style w:type="paragraph" w:styleId="8">
    <w:name w:val="footer"/>
    <w:basedOn w:val="1"/>
    <w:link w:val="21"/>
    <w:uiPriority w:val="99"/>
    <w:pPr>
      <w:tabs>
        <w:tab w:val="center" w:pos="4153"/>
        <w:tab w:val="right" w:pos="8306"/>
      </w:tabs>
      <w:snapToGrid w:val="0"/>
      <w:jc w:val="left"/>
    </w:pPr>
    <w:rPr>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99"/>
  </w:style>
  <w:style w:type="paragraph" w:styleId="11">
    <w:name w:val="toc 2"/>
    <w:basedOn w:val="1"/>
    <w:next w:val="1"/>
    <w:qFormat/>
    <w:uiPriority w:val="99"/>
    <w:pPr>
      <w:widowControl/>
      <w:spacing w:after="100" w:line="276" w:lineRule="auto"/>
      <w:ind w:left="220"/>
      <w:jc w:val="left"/>
    </w:pPr>
    <w:rPr>
      <w:kern w:val="0"/>
      <w:sz w:val="22"/>
    </w:rPr>
  </w:style>
  <w:style w:type="character" w:styleId="13">
    <w:name w:val="Hyperlink"/>
    <w:basedOn w:val="12"/>
    <w:qFormat/>
    <w:uiPriority w:val="99"/>
    <w:rPr>
      <w:rFonts w:cs="Times New Roman"/>
      <w:color w:val="0000FF"/>
      <w:u w:val="single"/>
    </w:rPr>
  </w:style>
  <w:style w:type="character" w:customStyle="1" w:styleId="15">
    <w:name w:val="标题 1 Char"/>
    <w:basedOn w:val="12"/>
    <w:link w:val="2"/>
    <w:qFormat/>
    <w:locked/>
    <w:uiPriority w:val="99"/>
    <w:rPr>
      <w:rFonts w:cs="Times New Roman"/>
      <w:b/>
      <w:bCs/>
      <w:kern w:val="44"/>
      <w:sz w:val="44"/>
      <w:szCs w:val="44"/>
    </w:rPr>
  </w:style>
  <w:style w:type="character" w:customStyle="1" w:styleId="16">
    <w:name w:val="标题 2 Char"/>
    <w:basedOn w:val="12"/>
    <w:link w:val="3"/>
    <w:qFormat/>
    <w:locked/>
    <w:uiPriority w:val="99"/>
    <w:rPr>
      <w:rFonts w:ascii="Cambria" w:hAnsi="Cambria" w:eastAsia="宋体" w:cs="Times New Roman"/>
      <w:b/>
      <w:bCs/>
      <w:sz w:val="32"/>
      <w:szCs w:val="32"/>
    </w:rPr>
  </w:style>
  <w:style w:type="character" w:customStyle="1" w:styleId="17">
    <w:name w:val="标题 3 Char"/>
    <w:basedOn w:val="12"/>
    <w:link w:val="4"/>
    <w:locked/>
    <w:uiPriority w:val="99"/>
    <w:rPr>
      <w:rFonts w:cs="Times New Roman"/>
      <w:b/>
      <w:bCs/>
      <w:sz w:val="32"/>
      <w:szCs w:val="32"/>
    </w:rPr>
  </w:style>
  <w:style w:type="character" w:customStyle="1" w:styleId="18">
    <w:name w:val="批注框文本 Char"/>
    <w:basedOn w:val="12"/>
    <w:link w:val="7"/>
    <w:semiHidden/>
    <w:qFormat/>
    <w:locked/>
    <w:uiPriority w:val="99"/>
    <w:rPr>
      <w:rFonts w:cs="Times New Roman"/>
      <w:sz w:val="18"/>
      <w:szCs w:val="18"/>
    </w:rPr>
  </w:style>
  <w:style w:type="character" w:customStyle="1" w:styleId="19">
    <w:name w:val="文档结构图 Char"/>
    <w:basedOn w:val="12"/>
    <w:link w:val="5"/>
    <w:semiHidden/>
    <w:locked/>
    <w:uiPriority w:val="99"/>
    <w:rPr>
      <w:rFonts w:ascii="宋体" w:eastAsia="宋体" w:cs="Times New Roman"/>
      <w:sz w:val="18"/>
      <w:szCs w:val="18"/>
    </w:rPr>
  </w:style>
  <w:style w:type="character" w:customStyle="1" w:styleId="20">
    <w:name w:val="页眉 Char"/>
    <w:basedOn w:val="12"/>
    <w:link w:val="9"/>
    <w:semiHidden/>
    <w:qFormat/>
    <w:locked/>
    <w:uiPriority w:val="99"/>
    <w:rPr>
      <w:rFonts w:cs="Times New Roman"/>
      <w:sz w:val="18"/>
      <w:szCs w:val="18"/>
    </w:rPr>
  </w:style>
  <w:style w:type="character" w:customStyle="1" w:styleId="21">
    <w:name w:val="页脚 Char"/>
    <w:basedOn w:val="12"/>
    <w:link w:val="8"/>
    <w:locked/>
    <w:uiPriority w:val="99"/>
    <w:rPr>
      <w:rFonts w:cs="Times New Roman"/>
      <w:sz w:val="18"/>
      <w:szCs w:val="18"/>
    </w:rPr>
  </w:style>
  <w:style w:type="paragraph" w:customStyle="1" w:styleId="22">
    <w:name w:val="List Paragraph"/>
    <w:basedOn w:val="1"/>
    <w:qFormat/>
    <w:uiPriority w:val="99"/>
    <w:pPr>
      <w:ind w:firstLine="420"/>
    </w:pPr>
  </w:style>
  <w:style w:type="paragraph" w:customStyle="1" w:styleId="23">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5">
    <w:name w:val="TOC Heading"/>
    <w:basedOn w:val="2"/>
    <w:next w:val="1"/>
    <w:qFormat/>
    <w:uiPriority w:val="99"/>
    <w:pPr>
      <w:widowControl/>
      <w:spacing w:before="480" w:after="0" w:line="276" w:lineRule="auto"/>
      <w:jc w:val="left"/>
      <w:outlineLvl w:val="9"/>
    </w:pPr>
    <w:rPr>
      <w:rFonts w:ascii="Cambria" w:hAnsi="Cambria"/>
      <w:color w:val="365F91"/>
      <w:kern w:val="0"/>
      <w:szCs w:val="28"/>
    </w:rPr>
  </w:style>
  <w:style w:type="paragraph" w:customStyle="1" w:styleId="26">
    <w:name w:val="段"/>
    <w:link w:val="27"/>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27">
    <w:name w:val="段 Char Char"/>
    <w:link w:val="26"/>
    <w:qFormat/>
    <w:uiPriority w:val="0"/>
    <w:rPr>
      <w:rFonts w:ascii="宋体" w:hAns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579</Words>
  <Characters>3301</Characters>
  <Lines>27</Lines>
  <Paragraphs>7</Paragraphs>
  <TotalTime>0</TotalTime>
  <ScaleCrop>false</ScaleCrop>
  <LinksUpToDate>false</LinksUpToDate>
  <CharactersWithSpaces>3873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2016-09-06T01:31:00Z</dcterms:created>
  <dc:creator>邵明静</dc:creator>
  <cp:lastModifiedBy>wangxue</cp:lastModifiedBy>
  <dcterms:modified xsi:type="dcterms:W3CDTF">2016-12-02T02:14:42Z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