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spacing w:beforeLines="50" w:afterLines="50" w:line="480" w:lineRule="auto"/>
        <w:jc w:val="center"/>
        <w:rPr>
          <w:rFonts w:ascii="黑体" w:eastAsia="黑体"/>
          <w:sz w:val="64"/>
          <w:szCs w:val="64"/>
        </w:rPr>
      </w:pPr>
      <w:r>
        <w:rPr>
          <w:rFonts w:hint="eastAsia" w:ascii="黑体" w:eastAsia="黑体"/>
          <w:sz w:val="64"/>
          <w:szCs w:val="64"/>
        </w:rPr>
        <w:t>混凝土用河道清淤砂</w:t>
      </w:r>
    </w:p>
    <w:p>
      <w:pPr>
        <w:pStyle w:val="17"/>
        <w:spacing w:beforeLines="50" w:afterLines="50" w:line="480" w:lineRule="auto"/>
        <w:rPr>
          <w:rFonts w:hint="eastAsia" w:ascii="Times New Roman" w:eastAsia="黑体"/>
          <w:sz w:val="64"/>
          <w:szCs w:val="64"/>
        </w:rPr>
      </w:pPr>
      <w:r>
        <w:rPr>
          <w:rFonts w:hint="eastAsia" w:ascii="Times New Roman" w:eastAsia="黑体"/>
          <w:sz w:val="64"/>
          <w:szCs w:val="64"/>
        </w:rPr>
        <w:t>编制说明</w:t>
      </w: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r>
        <w:rPr>
          <w:rFonts w:hint="eastAsia"/>
          <w:lang w:eastAsia="zh-CN"/>
        </w:rPr>
        <w:t>北京新航建材集团有限公司</w:t>
      </w:r>
      <w:r>
        <w:rPr>
          <w:rFonts w:hint="eastAsia"/>
        </w:rPr>
        <w:t>有限公司</w:t>
      </w:r>
    </w:p>
    <w:p>
      <w:pPr>
        <w:pStyle w:val="16"/>
        <w:rPr>
          <w:rFonts w:ascii="Times New Roman" w:eastAsia="黑体"/>
          <w:sz w:val="36"/>
          <w:szCs w:val="36"/>
        </w:rPr>
      </w:pPr>
      <w:r>
        <w:rPr>
          <w:rFonts w:ascii="Times New Roman" w:eastAsia="黑体"/>
          <w:sz w:val="36"/>
          <w:szCs w:val="36"/>
        </w:rPr>
        <w:t>201</w:t>
      </w:r>
      <w:r>
        <w:rPr>
          <w:rFonts w:hint="eastAsia" w:ascii="Times New Roman"/>
          <w:sz w:val="36"/>
          <w:szCs w:val="36"/>
          <w:lang w:val="en-US" w:eastAsia="zh-CN"/>
        </w:rPr>
        <w:t>7</w:t>
      </w:r>
      <w:r>
        <w:rPr>
          <w:rFonts w:hint="eastAsia" w:ascii="Times New Roman" w:eastAsia="黑体"/>
          <w:sz w:val="36"/>
          <w:szCs w:val="36"/>
        </w:rPr>
        <w:t>年</w:t>
      </w:r>
      <w:r>
        <w:rPr>
          <w:rFonts w:hint="eastAsia" w:ascii="Times New Roman"/>
          <w:sz w:val="36"/>
          <w:szCs w:val="36"/>
          <w:lang w:val="en-US" w:eastAsia="zh-CN"/>
        </w:rPr>
        <w:t>5</w:t>
      </w:r>
      <w:r>
        <w:rPr>
          <w:rFonts w:hint="eastAsia" w:ascii="Times New Roman" w:eastAsia="黑体"/>
          <w:sz w:val="36"/>
          <w:szCs w:val="36"/>
        </w:rPr>
        <w:t>月</w:t>
      </w:r>
    </w:p>
    <w:p>
      <w:pPr>
        <w:pStyle w:val="17"/>
        <w:spacing w:line="300" w:lineRule="auto"/>
        <w:jc w:val="both"/>
        <w:rPr>
          <w:rFonts w:ascii="Times New Roman"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425" w:num="1"/>
          <w:titlePg/>
          <w:docGrid w:type="lines" w:linePitch="381" w:charSpace="0"/>
        </w:sectPr>
      </w:pPr>
    </w:p>
    <w:p>
      <w:pPr>
        <w:pStyle w:val="21"/>
        <w:numPr>
          <w:ilvl w:val="0"/>
          <w:numId w:val="2"/>
        </w:numPr>
        <w:spacing w:beforeLines="50" w:afterLines="50" w:line="360" w:lineRule="auto"/>
        <w:ind w:firstLineChars="0"/>
        <w:rPr>
          <w:rFonts w:ascii="Times New Roman" w:hAnsi="Times New Roman" w:cs="Times New Roman"/>
          <w:b/>
          <w:sz w:val="28"/>
          <w:szCs w:val="28"/>
        </w:rPr>
      </w:pPr>
      <w:bookmarkStart w:id="0" w:name="_Toc467828976"/>
      <w:bookmarkStart w:id="1" w:name="_Toc467828975"/>
      <w:r>
        <w:rPr>
          <w:rFonts w:hint="eastAsia" w:ascii="Times New Roman" w:hAnsi="黑体" w:eastAsia="黑体" w:cs="Times New Roman"/>
          <w:sz w:val="28"/>
          <w:szCs w:val="28"/>
        </w:rPr>
        <w:t>任务来源</w:t>
      </w:r>
      <w:bookmarkEnd w:id="0"/>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在国家相关部门的高度重视下，中国建筑材料联合会提出了本标准，并根据工业和信息化部2014年第四批行业标准制修订计划的通知要求，立项本标准（</w:t>
      </w:r>
      <w:r>
        <w:rPr>
          <w:rFonts w:hint="eastAsia" w:ascii="宋体" w:hAnsi="宋体"/>
          <w:sz w:val="24"/>
        </w:rPr>
        <w:t>计划编号：2013-2043T-JC</w:t>
      </w:r>
      <w:r>
        <w:rPr>
          <w:rFonts w:hint="eastAsia" w:ascii="Times New Roman"/>
          <w:sz w:val="28"/>
          <w:szCs w:val="28"/>
          <w:lang w:val="en-US" w:eastAsia="zh-CN"/>
        </w:rPr>
        <w:t>）。</w:t>
      </w:r>
    </w:p>
    <w:p>
      <w:pPr>
        <w:pStyle w:val="21"/>
        <w:numPr>
          <w:ilvl w:val="0"/>
          <w:numId w:val="2"/>
        </w:numPr>
        <w:spacing w:beforeLines="50" w:afterLines="50" w:line="360" w:lineRule="auto"/>
        <w:ind w:firstLineChars="0"/>
        <w:rPr>
          <w:rFonts w:ascii="Times New Roman" w:hAnsi="黑体" w:eastAsia="黑体" w:cs="Times New Roman"/>
          <w:sz w:val="28"/>
          <w:szCs w:val="28"/>
        </w:rPr>
      </w:pPr>
      <w:r>
        <w:rPr>
          <w:rFonts w:ascii="Times New Roman" w:hAnsi="黑体" w:eastAsia="黑体" w:cs="Times New Roman"/>
          <w:sz w:val="28"/>
          <w:szCs w:val="28"/>
        </w:rPr>
        <w:t>编制背景与目的</w:t>
      </w:r>
    </w:p>
    <w:bookmarkEnd w:id="1"/>
    <w:p>
      <w:pPr>
        <w:spacing w:line="360" w:lineRule="auto"/>
        <w:ind w:firstLine="560" w:firstLineChars="200"/>
        <w:rPr>
          <w:rFonts w:hint="eastAsia" w:ascii="Times New Roman"/>
          <w:color w:val="auto"/>
          <w:sz w:val="28"/>
          <w:szCs w:val="28"/>
        </w:rPr>
      </w:pPr>
      <w:r>
        <w:rPr>
          <w:rFonts w:hint="eastAsia" w:ascii="Times New Roman"/>
          <w:color w:val="auto"/>
          <w:sz w:val="28"/>
          <w:szCs w:val="28"/>
        </w:rPr>
        <w:t>目前国内正广泛开展河道的整治清淤工作。河道整治要从生态、经济、人文、社会效应等多方面来考虑，既要恢复自然河道的功能，满足人类依赖生存的需求，还要实现资源的综合利用。在目前的河道清淤过程中，清理出来的大量河道清淤砂占用大片耕地，且严重污染周边的环境。近几年来随着国内混凝土年产量的增加，砂石资源已经非常紧缺，因此，伴随着河道综合清淤工作的开展，河道清淤砂的产量也越来越多，河道清淤砂已经在部分预拌混凝土企业得到应用。</w:t>
      </w:r>
    </w:p>
    <w:p>
      <w:pPr>
        <w:spacing w:line="360" w:lineRule="auto"/>
        <w:ind w:firstLine="560" w:firstLineChars="200"/>
        <w:rPr>
          <w:rFonts w:ascii="Times New Roman"/>
          <w:color w:val="auto"/>
          <w:sz w:val="28"/>
          <w:szCs w:val="28"/>
        </w:rPr>
      </w:pPr>
      <w:r>
        <w:rPr>
          <w:rFonts w:hint="eastAsia" w:ascii="Times New Roman"/>
          <w:color w:val="auto"/>
          <w:sz w:val="28"/>
          <w:szCs w:val="28"/>
        </w:rPr>
        <w:t>不同地区河道清淤砂的参数指标差别很大，如：含泥量，有害物质含量等等，不经过处理或者处理不彻底的河道清淤砂的应用会严重影响混凝土的性能，对工程的危害可想而知。由于没有相应的规范，已经有很多对河道清淤砂应用不够严格的混凝土企业，导致生产的混凝土强度不达标，耐久性差，存在很大的建筑隐患。因此制定《混凝土用河道清淤砂》标准，就是为了规范和严格河道清淤砂的应用，提高混凝土性能，且在保证、改善和提高混凝土性能的前提下提高河道清淤砂的利用率，实现河道清淤砂资源有效、规范的利用，这既是河道综合治理工作的一部分，也是河道清淤砂在混凝土应用中不可忽视的一部分。</w:t>
      </w:r>
    </w:p>
    <w:p>
      <w:pPr>
        <w:pStyle w:val="21"/>
        <w:numPr>
          <w:ilvl w:val="0"/>
          <w:numId w:val="2"/>
        </w:numPr>
        <w:spacing w:beforeLines="50" w:afterLines="50" w:line="360" w:lineRule="auto"/>
        <w:ind w:firstLineChars="0"/>
        <w:rPr>
          <w:rFonts w:ascii="Times New Roman" w:hAnsi="黑体" w:eastAsia="黑体" w:cs="Times New Roman"/>
          <w:sz w:val="28"/>
          <w:szCs w:val="28"/>
        </w:rPr>
      </w:pPr>
      <w:r>
        <w:rPr>
          <w:rFonts w:hint="eastAsia" w:ascii="Times New Roman" w:hAnsi="黑体" w:eastAsia="黑体" w:cs="Times New Roman"/>
          <w:sz w:val="28"/>
          <w:szCs w:val="28"/>
        </w:rPr>
        <w:t>标准制定的依据与指导思想</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15" w:firstLineChars="0"/>
        <w:jc w:val="both"/>
        <w:textAlignment w:val="auto"/>
        <w:outlineLvl w:val="9"/>
        <w:rPr>
          <w:sz w:val="28"/>
          <w:szCs w:val="28"/>
        </w:rPr>
      </w:pPr>
      <w:r>
        <w:rPr>
          <w:rFonts w:hint="eastAsia" w:ascii="Times New Roman"/>
          <w:sz w:val="28"/>
          <w:szCs w:val="28"/>
        </w:rPr>
        <w:t>本标准制定的依据GB/T 14684-2011</w:t>
      </w:r>
      <w:r>
        <w:rPr>
          <w:rFonts w:hint="eastAsia" w:ascii="Times New Roman"/>
          <w:sz w:val="28"/>
          <w:szCs w:val="28"/>
          <w:lang w:eastAsia="zh-CN"/>
        </w:rPr>
        <w:t>《</w:t>
      </w:r>
      <w:r>
        <w:rPr>
          <w:rFonts w:hint="eastAsia" w:ascii="Times New Roman"/>
          <w:sz w:val="28"/>
          <w:szCs w:val="28"/>
        </w:rPr>
        <w:t>建设用砂</w:t>
      </w:r>
      <w:r>
        <w:rPr>
          <w:rFonts w:hint="eastAsia" w:ascii="Times New Roman"/>
          <w:sz w:val="28"/>
          <w:szCs w:val="28"/>
          <w:lang w:eastAsia="zh-CN"/>
        </w:rPr>
        <w:t>》、</w:t>
      </w:r>
      <w:r>
        <w:rPr>
          <w:rFonts w:hint="eastAsia" w:ascii="Times New Roman"/>
          <w:sz w:val="28"/>
          <w:szCs w:val="28"/>
        </w:rPr>
        <w:t>JGJ52</w:t>
      </w:r>
      <w:r>
        <w:rPr>
          <w:rFonts w:hint="eastAsia" w:ascii="Times New Roman"/>
          <w:sz w:val="28"/>
          <w:szCs w:val="28"/>
          <w:lang w:val="en-US" w:eastAsia="zh-CN"/>
        </w:rPr>
        <w:t>-</w:t>
      </w:r>
      <w:r>
        <w:rPr>
          <w:rFonts w:hint="eastAsia" w:ascii="Times New Roman"/>
          <w:sz w:val="28"/>
          <w:szCs w:val="28"/>
        </w:rPr>
        <w:t>2006</w:t>
      </w:r>
      <w:r>
        <w:rPr>
          <w:rFonts w:hint="eastAsia" w:ascii="Times New Roman"/>
          <w:sz w:val="28"/>
          <w:szCs w:val="28"/>
          <w:lang w:eastAsia="zh-CN"/>
        </w:rPr>
        <w:t>《</w:t>
      </w:r>
      <w:r>
        <w:rPr>
          <w:rFonts w:hint="eastAsia" w:ascii="Times New Roman"/>
          <w:sz w:val="28"/>
          <w:szCs w:val="28"/>
        </w:rPr>
        <w:t>普通混凝土用砂、石质量及检验方法标准</w:t>
      </w:r>
      <w:r>
        <w:rPr>
          <w:rFonts w:hint="eastAsia" w:ascii="Times New Roman"/>
          <w:sz w:val="28"/>
          <w:szCs w:val="28"/>
          <w:lang w:eastAsia="zh-CN"/>
        </w:rPr>
        <w:t>》、</w:t>
      </w:r>
      <w:r>
        <w:rPr>
          <w:rFonts w:hint="eastAsia" w:ascii="Times New Roman"/>
          <w:sz w:val="28"/>
          <w:szCs w:val="28"/>
        </w:rPr>
        <w:t>GB175-2007</w:t>
      </w:r>
      <w:r>
        <w:rPr>
          <w:rFonts w:hint="eastAsia" w:ascii="Times New Roman"/>
          <w:sz w:val="28"/>
          <w:szCs w:val="28"/>
          <w:lang w:eastAsia="zh-CN"/>
        </w:rPr>
        <w:t>《通用</w:t>
      </w:r>
      <w:r>
        <w:rPr>
          <w:rFonts w:hint="eastAsia" w:ascii="Times New Roman"/>
          <w:sz w:val="28"/>
          <w:szCs w:val="28"/>
        </w:rPr>
        <w:t>硅酸盐水泥</w:t>
      </w:r>
      <w:r>
        <w:rPr>
          <w:rFonts w:hint="eastAsia" w:ascii="Times New Roman"/>
          <w:sz w:val="28"/>
          <w:szCs w:val="28"/>
          <w:lang w:eastAsia="zh-CN"/>
        </w:rPr>
        <w:t>》</w:t>
      </w:r>
      <w:r>
        <w:rPr>
          <w:rFonts w:hint="eastAsia" w:ascii="Times New Roman"/>
          <w:sz w:val="28"/>
          <w:szCs w:val="28"/>
        </w:rPr>
        <w:t>，</w:t>
      </w:r>
      <w:r>
        <w:rPr>
          <w:rFonts w:hint="eastAsia"/>
          <w:sz w:val="28"/>
          <w:szCs w:val="28"/>
        </w:rPr>
        <w:t>以及其他相关的标准、规章、规范性文件等。</w:t>
      </w:r>
    </w:p>
    <w:p>
      <w:pPr>
        <w:spacing w:line="360" w:lineRule="auto"/>
        <w:ind w:firstLine="560" w:firstLineChars="200"/>
        <w:rPr>
          <w:rFonts w:ascii="Times New Roman"/>
          <w:sz w:val="28"/>
          <w:szCs w:val="28"/>
        </w:rPr>
      </w:pPr>
      <w:r>
        <w:rPr>
          <w:rFonts w:hint="eastAsia"/>
          <w:sz w:val="28"/>
          <w:szCs w:val="28"/>
        </w:rPr>
        <w:t>通过本标准的制定，对河道清淤砂的合理利用起到很好的规范引导作用</w:t>
      </w:r>
      <w:r>
        <w:rPr>
          <w:rFonts w:hint="eastAsia"/>
          <w:sz w:val="28"/>
          <w:szCs w:val="28"/>
          <w:lang w:eastAsia="zh-CN"/>
        </w:rPr>
        <w:t>，降低</w:t>
      </w:r>
      <w:r>
        <w:rPr>
          <w:rFonts w:hint="eastAsia"/>
          <w:sz w:val="28"/>
          <w:szCs w:val="28"/>
        </w:rPr>
        <w:t>采用河道清淤砂生产的混凝土存在的安全隐患。</w:t>
      </w:r>
    </w:p>
    <w:p>
      <w:pPr>
        <w:pStyle w:val="21"/>
        <w:numPr>
          <w:ilvl w:val="0"/>
          <w:numId w:val="2"/>
        </w:numPr>
        <w:spacing w:beforeLines="50" w:afterLines="50" w:line="360" w:lineRule="auto"/>
        <w:ind w:firstLineChars="0"/>
        <w:rPr>
          <w:rFonts w:ascii="Times New Roman" w:hAnsi="黑体" w:eastAsia="黑体" w:cs="Times New Roman"/>
          <w:sz w:val="28"/>
          <w:szCs w:val="28"/>
        </w:rPr>
      </w:pPr>
      <w:r>
        <w:rPr>
          <w:rFonts w:hint="eastAsia" w:ascii="Times New Roman" w:hAnsi="黑体" w:eastAsia="黑体" w:cs="Times New Roman"/>
          <w:sz w:val="28"/>
          <w:szCs w:val="28"/>
        </w:rPr>
        <w:t>标准的适用范围</w:t>
      </w:r>
    </w:p>
    <w:p>
      <w:pPr>
        <w:spacing w:line="360" w:lineRule="auto"/>
        <w:ind w:firstLine="560" w:firstLineChars="200"/>
        <w:rPr>
          <w:rFonts w:ascii="Times New Roman" w:hAnsi="黑体" w:eastAsia="黑体" w:cs="Times New Roman"/>
          <w:sz w:val="28"/>
          <w:szCs w:val="28"/>
        </w:rPr>
      </w:pPr>
      <w:r>
        <w:rPr>
          <w:rFonts w:hint="eastAsia" w:ascii="Times New Roman"/>
          <w:sz w:val="28"/>
          <w:szCs w:val="28"/>
        </w:rPr>
        <w:t>本标准适用于混凝土及其制品和建筑砂浆。</w:t>
      </w:r>
    </w:p>
    <w:p>
      <w:pPr>
        <w:pStyle w:val="21"/>
        <w:numPr>
          <w:ilvl w:val="0"/>
          <w:numId w:val="2"/>
        </w:numPr>
        <w:spacing w:beforeLines="50" w:afterLines="50" w:line="360" w:lineRule="auto"/>
        <w:ind w:firstLineChars="0"/>
        <w:rPr>
          <w:rFonts w:ascii="Times New Roman" w:hAnsi="黑体" w:eastAsia="黑体" w:cs="Times New Roman"/>
          <w:sz w:val="28"/>
          <w:szCs w:val="28"/>
        </w:rPr>
      </w:pPr>
      <w:bookmarkStart w:id="2" w:name="_Toc467828977"/>
      <w:r>
        <w:rPr>
          <w:rFonts w:hint="eastAsia" w:ascii="Times New Roman" w:hAnsi="黑体" w:eastAsia="黑体" w:cs="Times New Roman"/>
          <w:sz w:val="28"/>
          <w:szCs w:val="28"/>
        </w:rPr>
        <w:t>参编单位</w:t>
      </w:r>
      <w:bookmarkEnd w:id="2"/>
    </w:p>
    <w:p>
      <w:pPr>
        <w:spacing w:line="360" w:lineRule="auto"/>
        <w:ind w:firstLine="560" w:firstLineChars="200"/>
        <w:rPr>
          <w:rFonts w:ascii="Times New Roman"/>
          <w:sz w:val="28"/>
          <w:szCs w:val="28"/>
        </w:rPr>
      </w:pPr>
      <w:r>
        <w:rPr>
          <w:rFonts w:hint="eastAsia"/>
          <w:sz w:val="28"/>
          <w:szCs w:val="28"/>
        </w:rPr>
        <w:t>本标准由   提出并</w:t>
      </w:r>
      <w:r>
        <w:rPr>
          <w:sz w:val="28"/>
          <w:szCs w:val="28"/>
        </w:rPr>
        <w:t>归口</w:t>
      </w:r>
      <w:r>
        <w:rPr>
          <w:rFonts w:hint="eastAsia" w:ascii="Times New Roman"/>
          <w:sz w:val="28"/>
          <w:szCs w:val="28"/>
        </w:rPr>
        <w:t>，起草单位有、等。</w:t>
      </w:r>
    </w:p>
    <w:p>
      <w:pPr>
        <w:pStyle w:val="21"/>
        <w:numPr>
          <w:ilvl w:val="0"/>
          <w:numId w:val="2"/>
        </w:numPr>
        <w:spacing w:beforeLines="50" w:afterLines="50" w:line="360" w:lineRule="auto"/>
        <w:ind w:left="357" w:hanging="357" w:firstLineChars="0"/>
        <w:rPr>
          <w:rFonts w:ascii="Times New Roman"/>
          <w:sz w:val="28"/>
          <w:szCs w:val="28"/>
        </w:rPr>
      </w:pPr>
      <w:bookmarkStart w:id="3" w:name="_Toc467828979"/>
      <w:r>
        <w:rPr>
          <w:rFonts w:hint="eastAsia" w:ascii="Times New Roman" w:hAnsi="黑体" w:eastAsia="黑体" w:cs="Times New Roman"/>
          <w:sz w:val="28"/>
          <w:szCs w:val="28"/>
        </w:rPr>
        <w:t>工作过程</w:t>
      </w:r>
      <w:bookmarkEnd w:id="3"/>
    </w:p>
    <w:p>
      <w:pPr>
        <w:spacing w:line="360" w:lineRule="auto"/>
        <w:ind w:firstLine="560" w:firstLineChars="200"/>
        <w:rPr>
          <w:rFonts w:hint="eastAsia" w:ascii="Times New Roman"/>
          <w:sz w:val="28"/>
          <w:szCs w:val="28"/>
        </w:rPr>
      </w:pPr>
      <w:bookmarkStart w:id="4" w:name="_Toc467828980"/>
      <w:r>
        <w:rPr>
          <w:rFonts w:hint="eastAsia" w:ascii="Times New Roman"/>
          <w:sz w:val="28"/>
          <w:szCs w:val="28"/>
        </w:rPr>
        <w:t>20</w:t>
      </w:r>
      <w:r>
        <w:rPr>
          <w:rFonts w:hint="eastAsia" w:ascii="Times New Roman"/>
          <w:sz w:val="28"/>
          <w:szCs w:val="28"/>
          <w:lang w:val="en-US" w:eastAsia="zh-CN"/>
        </w:rPr>
        <w:t>15</w:t>
      </w:r>
      <w:r>
        <w:rPr>
          <w:rFonts w:hint="eastAsia" w:ascii="Times New Roman"/>
          <w:sz w:val="28"/>
          <w:szCs w:val="28"/>
        </w:rPr>
        <w:t>年</w:t>
      </w:r>
      <w:r>
        <w:rPr>
          <w:rFonts w:hint="eastAsia" w:ascii="Times New Roman"/>
          <w:sz w:val="28"/>
          <w:szCs w:val="28"/>
          <w:lang w:val="en-US" w:eastAsia="zh-CN"/>
        </w:rPr>
        <w:t>5</w:t>
      </w:r>
      <w:r>
        <w:rPr>
          <w:rFonts w:hint="eastAsia" w:ascii="Times New Roman"/>
          <w:sz w:val="28"/>
          <w:szCs w:val="28"/>
        </w:rPr>
        <w:t>月在</w:t>
      </w:r>
      <w:r>
        <w:rPr>
          <w:rFonts w:hint="eastAsia" w:ascii="Times New Roman"/>
          <w:sz w:val="28"/>
          <w:szCs w:val="28"/>
          <w:lang w:eastAsia="zh-CN"/>
        </w:rPr>
        <w:t>山西</w:t>
      </w:r>
      <w:r>
        <w:rPr>
          <w:rFonts w:hint="eastAsia" w:ascii="Times New Roman"/>
          <w:sz w:val="28"/>
          <w:szCs w:val="28"/>
        </w:rPr>
        <w:t>召开《</w:t>
      </w:r>
      <w:r>
        <w:rPr>
          <w:rFonts w:hint="eastAsia" w:ascii="Times New Roman"/>
          <w:sz w:val="28"/>
          <w:szCs w:val="28"/>
          <w:lang w:eastAsia="zh-CN"/>
        </w:rPr>
        <w:t>混凝土河道清淤砂</w:t>
      </w:r>
      <w:r>
        <w:rPr>
          <w:rFonts w:hint="eastAsia" w:ascii="Times New Roman"/>
          <w:sz w:val="28"/>
          <w:szCs w:val="28"/>
        </w:rPr>
        <w:t>》</w:t>
      </w:r>
      <w:r>
        <w:rPr>
          <w:rFonts w:hint="eastAsia" w:ascii="Times New Roman"/>
          <w:sz w:val="28"/>
          <w:szCs w:val="28"/>
          <w:lang w:eastAsia="zh-CN"/>
        </w:rPr>
        <w:t>行业</w:t>
      </w:r>
      <w:r>
        <w:rPr>
          <w:rFonts w:hint="eastAsia" w:ascii="Times New Roman"/>
          <w:sz w:val="28"/>
          <w:szCs w:val="28"/>
        </w:rPr>
        <w:t>标准启动会，参加会议的单位主要有生产企业、科研单位、高等院校等。会上对河道清淤砂的定义、分类、技术要求、试验方法、检验规则等进行交流，最后成立编写小组，初步明确了目标任务，确定了编写技术方案与分工，制定了工作进度计划，并安排了河道</w:t>
      </w:r>
      <w:r>
        <w:rPr>
          <w:rFonts w:hint="eastAsia" w:ascii="Times New Roman"/>
          <w:sz w:val="28"/>
          <w:szCs w:val="28"/>
          <w:lang w:eastAsia="zh-CN"/>
        </w:rPr>
        <w:t>清淤砂的</w:t>
      </w:r>
      <w:r>
        <w:rPr>
          <w:rFonts w:hint="eastAsia" w:ascii="Times New Roman"/>
          <w:sz w:val="28"/>
          <w:szCs w:val="28"/>
        </w:rPr>
        <w:t>调研和含泥量</w:t>
      </w:r>
      <w:r>
        <w:rPr>
          <w:rFonts w:hint="eastAsia" w:ascii="Times New Roman"/>
          <w:sz w:val="28"/>
          <w:szCs w:val="28"/>
          <w:lang w:eastAsia="zh-CN"/>
        </w:rPr>
        <w:t>等试验</w:t>
      </w:r>
      <w:r>
        <w:rPr>
          <w:rFonts w:hint="eastAsia" w:ascii="Times New Roman"/>
          <w:sz w:val="28"/>
          <w:szCs w:val="28"/>
        </w:rPr>
        <w:t>的分工。</w:t>
      </w:r>
    </w:p>
    <w:p>
      <w:pPr>
        <w:spacing w:line="360" w:lineRule="auto"/>
        <w:ind w:firstLine="560" w:firstLineChars="200"/>
        <w:rPr>
          <w:rFonts w:hint="eastAsia" w:ascii="Times New Roman"/>
          <w:sz w:val="28"/>
          <w:szCs w:val="28"/>
          <w:lang w:val="en-US" w:eastAsia="zh-CN"/>
        </w:rPr>
      </w:pPr>
      <w:r>
        <w:rPr>
          <w:rFonts w:hint="eastAsia" w:ascii="Times New Roman"/>
          <w:sz w:val="28"/>
          <w:szCs w:val="28"/>
        </w:rPr>
        <w:t>20</w:t>
      </w:r>
      <w:r>
        <w:rPr>
          <w:rFonts w:hint="eastAsia" w:ascii="Times New Roman"/>
          <w:sz w:val="28"/>
          <w:szCs w:val="28"/>
          <w:lang w:val="en-US" w:eastAsia="zh-CN"/>
        </w:rPr>
        <w:t>15</w:t>
      </w:r>
      <w:r>
        <w:rPr>
          <w:rFonts w:hint="eastAsia" w:ascii="Times New Roman"/>
          <w:sz w:val="28"/>
          <w:szCs w:val="28"/>
        </w:rPr>
        <w:t>年</w:t>
      </w:r>
      <w:r>
        <w:rPr>
          <w:rFonts w:hint="eastAsia" w:ascii="Times New Roman"/>
          <w:sz w:val="28"/>
          <w:szCs w:val="28"/>
          <w:lang w:val="en-US" w:eastAsia="zh-CN"/>
        </w:rPr>
        <w:t>5</w:t>
      </w:r>
      <w:r>
        <w:rPr>
          <w:rFonts w:hint="eastAsia" w:ascii="Times New Roman"/>
          <w:sz w:val="28"/>
          <w:szCs w:val="28"/>
        </w:rPr>
        <w:t>月～201</w:t>
      </w:r>
      <w:r>
        <w:rPr>
          <w:rFonts w:hint="eastAsia" w:ascii="Times New Roman"/>
          <w:sz w:val="28"/>
          <w:szCs w:val="28"/>
          <w:lang w:val="en-US" w:eastAsia="zh-CN"/>
        </w:rPr>
        <w:t>5</w:t>
      </w:r>
      <w:r>
        <w:rPr>
          <w:rFonts w:hint="eastAsia" w:ascii="Times New Roman"/>
          <w:sz w:val="28"/>
          <w:szCs w:val="28"/>
        </w:rPr>
        <w:t>年</w:t>
      </w:r>
      <w:r>
        <w:rPr>
          <w:rFonts w:hint="eastAsia" w:ascii="Times New Roman"/>
          <w:sz w:val="28"/>
          <w:szCs w:val="28"/>
          <w:lang w:val="en-US" w:eastAsia="zh-CN"/>
        </w:rPr>
        <w:t>12</w:t>
      </w:r>
      <w:r>
        <w:rPr>
          <w:rFonts w:hint="eastAsia" w:ascii="Times New Roman"/>
          <w:sz w:val="28"/>
          <w:szCs w:val="28"/>
        </w:rPr>
        <w:t>月</w:t>
      </w:r>
      <w:r>
        <w:rPr>
          <w:rFonts w:hint="eastAsia" w:ascii="Times New Roman"/>
          <w:sz w:val="28"/>
          <w:szCs w:val="28"/>
          <w:lang w:eastAsia="zh-CN"/>
        </w:rPr>
        <w:t>，</w:t>
      </w:r>
      <w:r>
        <w:rPr>
          <w:rFonts w:hint="eastAsia" w:ascii="Times New Roman"/>
          <w:sz w:val="28"/>
          <w:szCs w:val="28"/>
        </w:rPr>
        <w:t>主编单位对标准就初次会议及会后草案资料</w:t>
      </w:r>
      <w:r>
        <w:rPr>
          <w:rFonts w:hint="eastAsia" w:ascii="Times New Roman"/>
          <w:sz w:val="28"/>
          <w:szCs w:val="28"/>
          <w:lang w:eastAsia="zh-CN"/>
        </w:rPr>
        <w:t>进行了</w:t>
      </w:r>
      <w:r>
        <w:rPr>
          <w:rFonts w:hint="eastAsia" w:ascii="Times New Roman"/>
          <w:sz w:val="28"/>
          <w:szCs w:val="28"/>
        </w:rPr>
        <w:t>整理及编写</w:t>
      </w:r>
      <w:r>
        <w:rPr>
          <w:rFonts w:hint="eastAsia" w:ascii="Times New Roman"/>
          <w:sz w:val="28"/>
          <w:szCs w:val="28"/>
          <w:lang w:eastAsia="zh-CN"/>
        </w:rPr>
        <w:t>，查阅了大量文献，并去河北涿州、北京房山等地对河道清淤砂进行了实地考察；并在</w:t>
      </w:r>
      <w:r>
        <w:rPr>
          <w:rFonts w:hint="eastAsia" w:ascii="Times New Roman"/>
          <w:sz w:val="28"/>
          <w:szCs w:val="28"/>
          <w:lang w:val="en-US" w:eastAsia="zh-CN"/>
        </w:rPr>
        <w:t>2015年10月份下达了征集混凝土河道清淤砂样品和试验数据的通知，收集了一批自北京、河北、江苏、广东、湖南等地的河道清淤砂样品。</w:t>
      </w:r>
    </w:p>
    <w:p>
      <w:pPr>
        <w:spacing w:line="360" w:lineRule="auto"/>
        <w:ind w:firstLine="560" w:firstLineChars="200"/>
        <w:rPr>
          <w:rFonts w:hint="eastAsia" w:ascii="Times New Roman"/>
          <w:sz w:val="28"/>
          <w:szCs w:val="28"/>
        </w:rPr>
      </w:pPr>
      <w:r>
        <w:rPr>
          <w:rFonts w:hint="eastAsia" w:ascii="Times New Roman"/>
          <w:sz w:val="28"/>
          <w:szCs w:val="28"/>
        </w:rPr>
        <w:t>201</w:t>
      </w:r>
      <w:r>
        <w:rPr>
          <w:rFonts w:hint="eastAsia" w:ascii="Times New Roman"/>
          <w:sz w:val="28"/>
          <w:szCs w:val="28"/>
          <w:lang w:val="en-US" w:eastAsia="zh-CN"/>
        </w:rPr>
        <w:t>5</w:t>
      </w:r>
      <w:r>
        <w:rPr>
          <w:rFonts w:hint="eastAsia" w:ascii="Times New Roman"/>
          <w:sz w:val="28"/>
          <w:szCs w:val="28"/>
        </w:rPr>
        <w:t>年</w:t>
      </w:r>
      <w:r>
        <w:rPr>
          <w:rFonts w:hint="eastAsia" w:ascii="Times New Roman"/>
          <w:sz w:val="28"/>
          <w:szCs w:val="28"/>
          <w:lang w:val="en-US" w:eastAsia="zh-CN"/>
        </w:rPr>
        <w:t>12</w:t>
      </w:r>
      <w:r>
        <w:rPr>
          <w:rFonts w:hint="eastAsia" w:ascii="Times New Roman"/>
          <w:sz w:val="28"/>
          <w:szCs w:val="28"/>
        </w:rPr>
        <w:t>月在</w:t>
      </w:r>
      <w:r>
        <w:rPr>
          <w:rFonts w:hint="eastAsia" w:ascii="Times New Roman"/>
          <w:sz w:val="28"/>
          <w:szCs w:val="28"/>
          <w:lang w:eastAsia="zh-CN"/>
        </w:rPr>
        <w:t>广州</w:t>
      </w:r>
      <w:r>
        <w:rPr>
          <w:rFonts w:hint="eastAsia" w:ascii="Times New Roman"/>
          <w:sz w:val="28"/>
          <w:szCs w:val="28"/>
        </w:rPr>
        <w:t>召开《</w:t>
      </w:r>
      <w:r>
        <w:rPr>
          <w:rFonts w:hint="eastAsia" w:ascii="Times New Roman"/>
          <w:sz w:val="28"/>
          <w:szCs w:val="28"/>
          <w:lang w:eastAsia="zh-CN"/>
        </w:rPr>
        <w:t>混凝土河道清淤砂</w:t>
      </w:r>
      <w:r>
        <w:rPr>
          <w:rFonts w:hint="eastAsia" w:ascii="Times New Roman"/>
          <w:sz w:val="28"/>
          <w:szCs w:val="28"/>
        </w:rPr>
        <w:t>》</w:t>
      </w:r>
      <w:r>
        <w:rPr>
          <w:rFonts w:hint="eastAsia" w:ascii="Times New Roman"/>
          <w:sz w:val="28"/>
          <w:szCs w:val="28"/>
          <w:lang w:eastAsia="zh-CN"/>
        </w:rPr>
        <w:t>行业</w:t>
      </w:r>
      <w:r>
        <w:rPr>
          <w:rFonts w:hint="eastAsia" w:ascii="Times New Roman"/>
          <w:sz w:val="28"/>
          <w:szCs w:val="28"/>
        </w:rPr>
        <w:t>标准第二次工作会议，会议邀请了各参编企业、科研单位、高等院校和质检机构等</w:t>
      </w:r>
      <w:r>
        <w:rPr>
          <w:rFonts w:hint="eastAsia" w:ascii="Times New Roman"/>
          <w:sz w:val="28"/>
          <w:szCs w:val="28"/>
          <w:lang w:eastAsia="zh-CN"/>
        </w:rPr>
        <w:t>专家</w:t>
      </w:r>
      <w:r>
        <w:rPr>
          <w:rFonts w:hint="eastAsia" w:ascii="Times New Roman"/>
          <w:sz w:val="28"/>
          <w:szCs w:val="28"/>
        </w:rPr>
        <w:t>。本次会议首先由主编单位代表对标准就初次会议及会后草案资料整理及编写情况进行了汇报，然后将编写标准的新思路进行论述，供与会人员提出意见、</w:t>
      </w:r>
      <w:r>
        <w:rPr>
          <w:rFonts w:hint="eastAsia" w:ascii="Times New Roman"/>
          <w:sz w:val="28"/>
          <w:szCs w:val="28"/>
          <w:lang w:eastAsia="zh-CN"/>
        </w:rPr>
        <w:t>讨论确定了标准编写的新思路：标准应该更严格更准确，就此标准草案“有害物质的含量问题”是此前讨论的重点，所以给各参编单位下发了表格进行数据范围探讨统计，整理了大家的统计数据汇总表，讨论完善了表中需要检测的项目和检测方法。</w:t>
      </w:r>
    </w:p>
    <w:p>
      <w:pPr>
        <w:spacing w:line="360" w:lineRule="auto"/>
        <w:ind w:firstLine="560" w:firstLineChars="200"/>
        <w:rPr>
          <w:rFonts w:hint="eastAsia" w:ascii="Times New Roman"/>
          <w:sz w:val="28"/>
          <w:szCs w:val="28"/>
        </w:rPr>
      </w:pPr>
      <w:r>
        <w:rPr>
          <w:rFonts w:hint="eastAsia" w:ascii="Times New Roman"/>
          <w:sz w:val="28"/>
          <w:szCs w:val="28"/>
        </w:rPr>
        <w:t>201</w:t>
      </w:r>
      <w:r>
        <w:rPr>
          <w:rFonts w:hint="eastAsia" w:ascii="Times New Roman"/>
          <w:sz w:val="28"/>
          <w:szCs w:val="28"/>
          <w:lang w:val="en-US" w:eastAsia="zh-CN"/>
        </w:rPr>
        <w:t>5</w:t>
      </w:r>
      <w:r>
        <w:rPr>
          <w:rFonts w:hint="eastAsia" w:ascii="Times New Roman"/>
          <w:sz w:val="28"/>
          <w:szCs w:val="28"/>
        </w:rPr>
        <w:t>年</w:t>
      </w:r>
      <w:r>
        <w:rPr>
          <w:rFonts w:hint="eastAsia" w:ascii="Times New Roman"/>
          <w:sz w:val="28"/>
          <w:szCs w:val="28"/>
          <w:lang w:val="en-US" w:eastAsia="zh-CN"/>
        </w:rPr>
        <w:t>12</w:t>
      </w:r>
      <w:r>
        <w:rPr>
          <w:rFonts w:hint="eastAsia" w:ascii="Times New Roman"/>
          <w:sz w:val="28"/>
          <w:szCs w:val="28"/>
        </w:rPr>
        <w:t>月</w:t>
      </w:r>
      <w:r>
        <w:rPr>
          <w:rFonts w:hint="eastAsia" w:ascii="Times New Roman"/>
          <w:sz w:val="28"/>
          <w:szCs w:val="28"/>
          <w:lang w:val="en-US" w:eastAsia="zh-CN"/>
        </w:rPr>
        <w:t>-2017年4月</w:t>
      </w:r>
      <w:r>
        <w:rPr>
          <w:rFonts w:hint="eastAsia" w:ascii="Times New Roman"/>
          <w:sz w:val="28"/>
          <w:szCs w:val="28"/>
        </w:rPr>
        <w:t>，</w:t>
      </w:r>
      <w:r>
        <w:rPr>
          <w:rFonts w:hint="eastAsia" w:ascii="Times New Roman"/>
          <w:sz w:val="28"/>
          <w:szCs w:val="28"/>
          <w:lang w:eastAsia="zh-CN"/>
        </w:rPr>
        <w:t>再次对混凝土河道清淤砂讨论稿进行了修订，再次完善确定了检测项目和检测方法，通过对各地样品的试验和检测，并参考相关标准</w:t>
      </w:r>
      <w:bookmarkStart w:id="7" w:name="_GoBack"/>
      <w:bookmarkEnd w:id="7"/>
      <w:r>
        <w:rPr>
          <w:rFonts w:hint="eastAsia" w:ascii="Times New Roman"/>
          <w:sz w:val="28"/>
          <w:szCs w:val="28"/>
          <w:lang w:eastAsia="zh-CN"/>
        </w:rPr>
        <w:t>，对河道清淤砂的有害物质指标值进行了限定</w:t>
      </w:r>
      <w:r>
        <w:rPr>
          <w:rFonts w:hint="eastAsia" w:ascii="Times New Roman"/>
          <w:sz w:val="28"/>
          <w:szCs w:val="28"/>
        </w:rPr>
        <w:t>，形成了《</w:t>
      </w:r>
      <w:r>
        <w:rPr>
          <w:rFonts w:hint="eastAsia" w:ascii="Times New Roman"/>
          <w:sz w:val="28"/>
          <w:szCs w:val="28"/>
          <w:lang w:eastAsia="zh-CN"/>
        </w:rPr>
        <w:t>混凝土河道清淤砂</w:t>
      </w:r>
      <w:r>
        <w:rPr>
          <w:rFonts w:hint="eastAsia" w:ascii="Times New Roman"/>
          <w:sz w:val="28"/>
          <w:szCs w:val="28"/>
        </w:rPr>
        <w:t>》</w:t>
      </w:r>
      <w:r>
        <w:rPr>
          <w:rFonts w:hint="eastAsia" w:ascii="Times New Roman"/>
          <w:sz w:val="28"/>
          <w:szCs w:val="28"/>
          <w:lang w:eastAsia="zh-CN"/>
        </w:rPr>
        <w:t>行业</w:t>
      </w:r>
      <w:r>
        <w:rPr>
          <w:rFonts w:hint="eastAsia" w:ascii="Times New Roman"/>
          <w:sz w:val="28"/>
          <w:szCs w:val="28"/>
        </w:rPr>
        <w:t>标准的</w:t>
      </w:r>
      <w:r>
        <w:rPr>
          <w:rFonts w:hint="eastAsia" w:ascii="Times New Roman"/>
          <w:sz w:val="28"/>
          <w:szCs w:val="28"/>
          <w:lang w:eastAsia="zh-CN"/>
        </w:rPr>
        <w:t>征求意见稿</w:t>
      </w:r>
      <w:r>
        <w:rPr>
          <w:rFonts w:hint="eastAsia" w:ascii="Times New Roman"/>
          <w:sz w:val="28"/>
          <w:szCs w:val="28"/>
        </w:rPr>
        <w:t>和编制说明。</w:t>
      </w:r>
    </w:p>
    <w:p>
      <w:pPr>
        <w:pStyle w:val="21"/>
        <w:numPr>
          <w:ilvl w:val="0"/>
          <w:numId w:val="2"/>
        </w:numPr>
        <w:spacing w:beforeLines="50" w:afterLines="50" w:line="360" w:lineRule="auto"/>
        <w:ind w:left="357" w:hanging="357" w:firstLineChars="0"/>
        <w:rPr>
          <w:rFonts w:ascii="Times New Roman" w:hAnsi="黑体" w:eastAsia="黑体" w:cs="Times New Roman"/>
          <w:sz w:val="28"/>
          <w:szCs w:val="28"/>
        </w:rPr>
      </w:pPr>
      <w:r>
        <w:rPr>
          <w:rFonts w:hint="eastAsia" w:ascii="Times New Roman" w:hAnsi="黑体" w:eastAsia="黑体" w:cs="Times New Roman"/>
          <w:sz w:val="28"/>
          <w:szCs w:val="28"/>
        </w:rPr>
        <w:t>标准的主要内容</w:t>
      </w:r>
      <w:bookmarkEnd w:id="4"/>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7.1主要内容</w:t>
      </w:r>
    </w:p>
    <w:p>
      <w:pPr>
        <w:spacing w:line="360" w:lineRule="auto"/>
        <w:ind w:firstLine="560" w:firstLineChars="200"/>
        <w:rPr>
          <w:rFonts w:ascii="Times New Roman"/>
          <w:sz w:val="28"/>
          <w:szCs w:val="28"/>
        </w:rPr>
      </w:pPr>
      <w:r>
        <w:rPr>
          <w:rFonts w:hint="eastAsia" w:ascii="Times New Roman"/>
          <w:sz w:val="28"/>
          <w:szCs w:val="28"/>
        </w:rPr>
        <w:t>本标准规定了混凝土用河道清淤砂的定义、分类与规格、技术要求、试验方法、检验规则、标志、储存和运输等。</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7.2范围</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本标准中规定的河道清淤砂适用于混凝土及其制品和建筑砂浆。</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7.3定义</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河道清淤砂：无法形成大规模砂场的天然河道在清淤过程中（挖淤或者抽淤等）仍然存在大量的砂与淤泥的混合层，经过分选、处理后产生的粒径小于4.75μm的颗粒。</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7.4分类和规格</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（1）分类：河道清淤砂属于混合砂（机制砂和天然砂混合）的类别。</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（2）规格：河道清淤砂按细度模数分为粗、中、细、特细四种规格，其细度模数分别为：粗：3.7～3.1；中：3.0～2.3 ；细：2.2～1.6 ；特细砂：1.5～0.7。</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7.5技术要求</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对河道清淤砂颗粒级配、含泥量、泥块含量、有害物质含量、表观密度、堆积密度、空隙率、碱集料反应、PH值、放射性等指标作了要求，要符合GBT14684-2011建设用砂中相关要求。</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本标准着重对河道清淤砂有害物质含量作了特别要求，河道清淤砂经过筛洗除土后不应混有草根、树叶、树枝、塑料、煤块、炉渣等杂物。砂中如含有云母、轻物质、有机物、硫化物及硫酸盐、氯盐等，其含量应符合标准中表1的规定。</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15" w:firstLineChars="0"/>
        <w:jc w:val="center"/>
        <w:textAlignment w:val="auto"/>
        <w:outlineLvl w:val="9"/>
        <w:rPr>
          <w:rFonts w:hint="eastAsia" w:hAnsi="宋体" w:cs="宋体"/>
          <w:lang w:val="en-US" w:eastAsia="zh-CN"/>
        </w:rPr>
      </w:pPr>
      <w:r>
        <w:rPr>
          <w:rFonts w:hint="eastAsia"/>
        </w:rPr>
        <w:t>表</w:t>
      </w:r>
      <w:r>
        <w:rPr>
          <w:rFonts w:hint="eastAsia"/>
          <w:lang w:val="en-US" w:eastAsia="zh-CN"/>
        </w:rPr>
        <w:t>1</w:t>
      </w:r>
      <w:r>
        <w:rPr>
          <w:rFonts w:hint="eastAsia"/>
        </w:rPr>
        <w:t xml:space="preserve">    有害物质含量</w:t>
      </w:r>
    </w:p>
    <w:tbl>
      <w:tblPr>
        <w:tblStyle w:val="11"/>
        <w:tblW w:w="7652" w:type="dxa"/>
        <w:jc w:val="center"/>
        <w:tblInd w:w="0" w:type="dxa"/>
        <w:tblLayout w:type="fixed"/>
        <w:tblCellMar>
          <w:top w:w="0" w:type="dxa"/>
          <w:left w:w="108" w:type="dxa"/>
          <w:bottom w:w="0" w:type="dxa"/>
          <w:right w:w="108" w:type="dxa"/>
        </w:tblCellMar>
      </w:tblPr>
      <w:tblGrid>
        <w:gridCol w:w="881"/>
        <w:gridCol w:w="3495"/>
        <w:gridCol w:w="1037"/>
        <w:gridCol w:w="1040"/>
        <w:gridCol w:w="1199"/>
      </w:tblGrid>
      <w:tr>
        <w:tblPrEx>
          <w:tblLayout w:type="fixed"/>
          <w:tblCellMar>
            <w:top w:w="0" w:type="dxa"/>
            <w:left w:w="108" w:type="dxa"/>
            <w:bottom w:w="0" w:type="dxa"/>
            <w:right w:w="108" w:type="dxa"/>
          </w:tblCellMar>
        </w:tblPrEx>
        <w:trPr>
          <w:trHeight w:val="300" w:hRule="atLeast"/>
          <w:jc w:val="center"/>
        </w:trPr>
        <w:tc>
          <w:tcPr>
            <w:tcW w:w="4376" w:type="dxa"/>
            <w:gridSpan w:val="2"/>
            <w:vMerge w:val="restart"/>
            <w:tcBorders>
              <w:top w:val="single" w:color="auto" w:sz="8" w:space="0"/>
              <w:left w:val="single" w:color="auto" w:sz="8" w:space="0"/>
              <w:right w:val="single" w:color="000000"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项             目</w:t>
            </w:r>
          </w:p>
        </w:tc>
        <w:tc>
          <w:tcPr>
            <w:tcW w:w="3276" w:type="dxa"/>
            <w:gridSpan w:val="3"/>
            <w:tcBorders>
              <w:top w:val="single" w:color="auto" w:sz="8" w:space="0"/>
              <w:left w:val="nil"/>
              <w:bottom w:val="single" w:color="auto" w:sz="8" w:space="0"/>
              <w:right w:val="single" w:color="auto" w:sz="8" w:space="0"/>
            </w:tcBorders>
            <w:vAlign w:val="center"/>
          </w:tcPr>
          <w:p>
            <w:pPr>
              <w:pStyle w:val="4"/>
              <w:spacing w:line="360" w:lineRule="auto"/>
              <w:jc w:val="center"/>
              <w:rPr>
                <w:rFonts w:hint="eastAsia" w:hAnsi="宋体"/>
                <w:color w:val="000000" w:themeColor="text1"/>
                <w:sz w:val="22"/>
                <w:szCs w:val="28"/>
              </w:rPr>
            </w:pPr>
            <w:r>
              <w:rPr>
                <w:rFonts w:hint="eastAsia" w:hAnsi="宋体"/>
                <w:color w:val="000000" w:themeColor="text1"/>
                <w:sz w:val="22"/>
                <w:szCs w:val="28"/>
              </w:rPr>
              <w:t>指标</w:t>
            </w:r>
          </w:p>
        </w:tc>
      </w:tr>
      <w:tr>
        <w:tblPrEx>
          <w:tblLayout w:type="fixed"/>
          <w:tblCellMar>
            <w:top w:w="0" w:type="dxa"/>
            <w:left w:w="108" w:type="dxa"/>
            <w:bottom w:w="0" w:type="dxa"/>
            <w:right w:w="108" w:type="dxa"/>
          </w:tblCellMar>
        </w:tblPrEx>
        <w:trPr>
          <w:trHeight w:val="300" w:hRule="atLeast"/>
          <w:jc w:val="center"/>
        </w:trPr>
        <w:tc>
          <w:tcPr>
            <w:tcW w:w="4376" w:type="dxa"/>
            <w:gridSpan w:val="2"/>
            <w:vMerge w:val="continue"/>
            <w:tcBorders>
              <w:left w:val="single" w:color="auto" w:sz="8" w:space="0"/>
              <w:bottom w:val="single" w:color="auto" w:sz="8" w:space="0"/>
              <w:right w:val="single" w:color="000000" w:sz="8" w:space="0"/>
            </w:tcBorders>
            <w:vAlign w:val="center"/>
          </w:tcPr>
          <w:p>
            <w:pPr>
              <w:widowControl/>
              <w:jc w:val="center"/>
              <w:rPr>
                <w:rFonts w:hint="eastAsia" w:ascii="宋体" w:hAnsi="宋体" w:cs="宋体"/>
                <w:color w:val="000000" w:themeColor="text1"/>
                <w:kern w:val="0"/>
                <w:sz w:val="20"/>
                <w:szCs w:val="20"/>
              </w:rPr>
            </w:pPr>
          </w:p>
        </w:tc>
        <w:tc>
          <w:tcPr>
            <w:tcW w:w="1037" w:type="dxa"/>
            <w:tcBorders>
              <w:top w:val="single" w:color="auto" w:sz="8" w:space="0"/>
              <w:left w:val="nil"/>
              <w:bottom w:val="single" w:color="auto" w:sz="8" w:space="0"/>
              <w:right w:val="single" w:color="auto" w:sz="8" w:space="0"/>
            </w:tcBorders>
            <w:vAlign w:val="center"/>
          </w:tcPr>
          <w:p>
            <w:pPr>
              <w:pStyle w:val="4"/>
              <w:spacing w:line="360" w:lineRule="auto"/>
              <w:jc w:val="center"/>
              <w:rPr>
                <w:rFonts w:hint="eastAsia"/>
                <w:color w:val="000000" w:themeColor="text1"/>
              </w:rPr>
            </w:pPr>
            <w:r>
              <w:rPr>
                <w:rFonts w:hint="eastAsia" w:hAnsi="宋体"/>
                <w:color w:val="000000" w:themeColor="text1"/>
                <w:sz w:val="22"/>
                <w:szCs w:val="28"/>
              </w:rPr>
              <w:t>Ⅰ类</w:t>
            </w:r>
          </w:p>
        </w:tc>
        <w:tc>
          <w:tcPr>
            <w:tcW w:w="1040" w:type="dxa"/>
            <w:tcBorders>
              <w:top w:val="single" w:color="auto" w:sz="8" w:space="0"/>
              <w:left w:val="nil"/>
              <w:bottom w:val="single" w:color="auto" w:sz="8" w:space="0"/>
              <w:right w:val="single" w:color="auto" w:sz="8" w:space="0"/>
            </w:tcBorders>
            <w:vAlign w:val="center"/>
          </w:tcPr>
          <w:p>
            <w:pPr>
              <w:pStyle w:val="4"/>
              <w:spacing w:line="360" w:lineRule="auto"/>
              <w:jc w:val="center"/>
              <w:rPr>
                <w:rFonts w:hint="eastAsia"/>
                <w:color w:val="000000" w:themeColor="text1"/>
              </w:rPr>
            </w:pPr>
            <w:r>
              <w:rPr>
                <w:rFonts w:hint="eastAsia" w:hAnsi="宋体"/>
                <w:color w:val="000000" w:themeColor="text1"/>
                <w:sz w:val="22"/>
                <w:szCs w:val="28"/>
              </w:rPr>
              <w:t>Ⅱ类</w:t>
            </w:r>
          </w:p>
        </w:tc>
        <w:tc>
          <w:tcPr>
            <w:tcW w:w="1199" w:type="dxa"/>
            <w:tcBorders>
              <w:top w:val="single" w:color="auto" w:sz="8" w:space="0"/>
              <w:left w:val="nil"/>
              <w:bottom w:val="single" w:color="auto" w:sz="8" w:space="0"/>
              <w:right w:val="single" w:color="auto" w:sz="8" w:space="0"/>
            </w:tcBorders>
            <w:vAlign w:val="center"/>
          </w:tcPr>
          <w:p>
            <w:pPr>
              <w:pStyle w:val="4"/>
              <w:spacing w:line="360" w:lineRule="auto"/>
              <w:jc w:val="center"/>
              <w:rPr>
                <w:rFonts w:hint="eastAsia"/>
                <w:color w:val="000000" w:themeColor="text1"/>
              </w:rPr>
            </w:pPr>
            <w:r>
              <w:rPr>
                <w:rFonts w:hint="eastAsia" w:hAnsi="宋体"/>
                <w:color w:val="000000" w:themeColor="text1"/>
                <w:sz w:val="22"/>
                <w:szCs w:val="28"/>
              </w:rPr>
              <w:t>Ⅲ类</w:t>
            </w:r>
          </w:p>
        </w:tc>
      </w:tr>
      <w:tr>
        <w:tblPrEx>
          <w:tblLayout w:type="fixed"/>
          <w:tblCellMar>
            <w:top w:w="0" w:type="dxa"/>
            <w:left w:w="108" w:type="dxa"/>
            <w:bottom w:w="0" w:type="dxa"/>
            <w:right w:w="108" w:type="dxa"/>
          </w:tblCellMar>
        </w:tblPrEx>
        <w:trPr>
          <w:trHeight w:val="270" w:hRule="atLeast"/>
          <w:jc w:val="center"/>
        </w:trPr>
        <w:tc>
          <w:tcPr>
            <w:tcW w:w="4376"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云母（按质量计），%              ＜</w:t>
            </w:r>
          </w:p>
        </w:tc>
        <w:tc>
          <w:tcPr>
            <w:tcW w:w="1037"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0.5</w:t>
            </w:r>
          </w:p>
        </w:tc>
        <w:tc>
          <w:tcPr>
            <w:tcW w:w="10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1.0</w:t>
            </w:r>
          </w:p>
        </w:tc>
        <w:tc>
          <w:tcPr>
            <w:tcW w:w="1199"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2.0</w:t>
            </w:r>
          </w:p>
        </w:tc>
      </w:tr>
      <w:tr>
        <w:tblPrEx>
          <w:tblLayout w:type="fixed"/>
          <w:tblCellMar>
            <w:top w:w="0" w:type="dxa"/>
            <w:left w:w="108" w:type="dxa"/>
            <w:bottom w:w="0" w:type="dxa"/>
            <w:right w:w="108" w:type="dxa"/>
          </w:tblCellMar>
        </w:tblPrEx>
        <w:trPr>
          <w:trHeight w:val="90" w:hRule="atLeast"/>
          <w:jc w:val="center"/>
        </w:trPr>
        <w:tc>
          <w:tcPr>
            <w:tcW w:w="4376"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轻物质（按质量计），%            ＜</w:t>
            </w:r>
          </w:p>
        </w:tc>
        <w:tc>
          <w:tcPr>
            <w:tcW w:w="1037"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0.5</w:t>
            </w:r>
          </w:p>
        </w:tc>
        <w:tc>
          <w:tcPr>
            <w:tcW w:w="104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1.0</w:t>
            </w:r>
          </w:p>
        </w:tc>
        <w:tc>
          <w:tcPr>
            <w:tcW w:w="1199"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2.0</w:t>
            </w:r>
          </w:p>
        </w:tc>
      </w:tr>
      <w:tr>
        <w:tblPrEx>
          <w:tblLayout w:type="fixed"/>
          <w:tblCellMar>
            <w:top w:w="0" w:type="dxa"/>
            <w:left w:w="108" w:type="dxa"/>
            <w:bottom w:w="0" w:type="dxa"/>
            <w:right w:w="108" w:type="dxa"/>
          </w:tblCellMar>
        </w:tblPrEx>
        <w:trPr>
          <w:trHeight w:val="300" w:hRule="atLeast"/>
          <w:jc w:val="center"/>
        </w:trPr>
        <w:tc>
          <w:tcPr>
            <w:tcW w:w="4376"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有机物（</w:t>
            </w:r>
            <w:r>
              <w:rPr>
                <w:rFonts w:hint="eastAsia" w:ascii="宋体" w:hAnsi="宋体" w:cs="宋体"/>
                <w:color w:val="000000" w:themeColor="text1"/>
                <w:kern w:val="0"/>
                <w:sz w:val="20"/>
                <w:szCs w:val="20"/>
                <w:lang w:eastAsia="zh-CN"/>
              </w:rPr>
              <w:t>比色试验法</w:t>
            </w:r>
            <w:r>
              <w:rPr>
                <w:rFonts w:hint="eastAsia" w:ascii="宋体" w:hAnsi="宋体" w:cs="宋体"/>
                <w:color w:val="000000" w:themeColor="text1"/>
                <w:kern w:val="0"/>
                <w:sz w:val="20"/>
                <w:szCs w:val="20"/>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eastAsia="zh-CN"/>
              </w:rPr>
            </w:pPr>
            <w:r>
              <w:rPr>
                <w:rFonts w:hint="eastAsia" w:ascii="宋体" w:hAnsi="宋体" w:cs="宋体"/>
                <w:color w:val="000000" w:themeColor="text1"/>
                <w:kern w:val="0"/>
                <w:sz w:val="20"/>
                <w:szCs w:val="20"/>
                <w:lang w:eastAsia="zh-CN"/>
              </w:rPr>
              <w:t>浅于标准色，当深于标准色时，应按水泥胶砂强度试验方法进行对比试验，抗压强度比不应低于</w:t>
            </w:r>
            <w:r>
              <w:rPr>
                <w:rFonts w:hint="eastAsia" w:ascii="宋体" w:hAnsi="宋体" w:cs="宋体"/>
                <w:color w:val="000000" w:themeColor="text1"/>
                <w:kern w:val="0"/>
                <w:sz w:val="20"/>
                <w:szCs w:val="20"/>
                <w:lang w:val="en-US" w:eastAsia="zh-CN"/>
              </w:rPr>
              <w:t>0.95.</w:t>
            </w:r>
          </w:p>
        </w:tc>
      </w:tr>
      <w:tr>
        <w:tblPrEx>
          <w:tblLayout w:type="fixed"/>
          <w:tblCellMar>
            <w:top w:w="0" w:type="dxa"/>
            <w:left w:w="108" w:type="dxa"/>
            <w:bottom w:w="0" w:type="dxa"/>
            <w:right w:w="108" w:type="dxa"/>
          </w:tblCellMar>
        </w:tblPrEx>
        <w:trPr>
          <w:trHeight w:val="510" w:hRule="atLeast"/>
          <w:jc w:val="center"/>
        </w:trPr>
        <w:tc>
          <w:tcPr>
            <w:tcW w:w="437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硫化物及硫酸盐（按SO</w:t>
            </w:r>
            <w:r>
              <w:rPr>
                <w:rFonts w:hint="eastAsia" w:ascii="宋体" w:hAnsi="宋体" w:cs="宋体"/>
                <w:color w:val="000000" w:themeColor="text1"/>
                <w:kern w:val="0"/>
                <w:sz w:val="20"/>
                <w:szCs w:val="20"/>
                <w:vertAlign w:val="subscript"/>
              </w:rPr>
              <w:t>3</w:t>
            </w:r>
            <w:r>
              <w:rPr>
                <w:rFonts w:hint="eastAsia" w:ascii="宋体" w:hAnsi="宋体" w:cs="宋体"/>
                <w:color w:val="000000" w:themeColor="text1"/>
                <w:kern w:val="0"/>
                <w:sz w:val="20"/>
                <w:szCs w:val="20"/>
              </w:rPr>
              <w:t>质量计），%  ＜</w:t>
            </w:r>
          </w:p>
        </w:tc>
        <w:tc>
          <w:tcPr>
            <w:tcW w:w="1037"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0.5</w:t>
            </w:r>
          </w:p>
        </w:tc>
        <w:tc>
          <w:tcPr>
            <w:tcW w:w="1040"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1.0</w:t>
            </w:r>
          </w:p>
        </w:tc>
        <w:tc>
          <w:tcPr>
            <w:tcW w:w="1199"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2.0</w:t>
            </w:r>
          </w:p>
        </w:tc>
      </w:tr>
      <w:tr>
        <w:tblPrEx>
          <w:tblLayout w:type="fixed"/>
          <w:tblCellMar>
            <w:top w:w="0" w:type="dxa"/>
            <w:left w:w="108" w:type="dxa"/>
            <w:bottom w:w="0" w:type="dxa"/>
            <w:right w:w="108" w:type="dxa"/>
          </w:tblCellMar>
        </w:tblPrEx>
        <w:trPr>
          <w:trHeight w:val="480" w:hRule="atLeast"/>
          <w:jc w:val="center"/>
        </w:trPr>
        <w:tc>
          <w:tcPr>
            <w:tcW w:w="437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氯化物（以氯离子质量计），%        ＜</w:t>
            </w:r>
          </w:p>
        </w:tc>
        <w:tc>
          <w:tcPr>
            <w:tcW w:w="1037"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0.01</w:t>
            </w:r>
          </w:p>
        </w:tc>
        <w:tc>
          <w:tcPr>
            <w:tcW w:w="104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0.02</w:t>
            </w:r>
          </w:p>
        </w:tc>
        <w:tc>
          <w:tcPr>
            <w:tcW w:w="1199"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0.06</w:t>
            </w:r>
          </w:p>
        </w:tc>
      </w:tr>
      <w:tr>
        <w:tblPrEx>
          <w:tblLayout w:type="fixed"/>
          <w:tblCellMar>
            <w:top w:w="0" w:type="dxa"/>
            <w:left w:w="108" w:type="dxa"/>
            <w:bottom w:w="0" w:type="dxa"/>
            <w:right w:w="108" w:type="dxa"/>
          </w:tblCellMar>
        </w:tblPrEx>
        <w:trPr>
          <w:trHeight w:val="300" w:hRule="atLeast"/>
          <w:jc w:val="center"/>
        </w:trPr>
        <w:tc>
          <w:tcPr>
            <w:tcW w:w="881"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重金属</w:t>
            </w:r>
            <w:r>
              <w:rPr>
                <w:rFonts w:hint="eastAsia" w:ascii="宋体" w:hAnsi="宋体" w:cs="宋体"/>
                <w:color w:val="000000" w:themeColor="text1"/>
                <w:kern w:val="0"/>
                <w:sz w:val="18"/>
                <w:szCs w:val="18"/>
                <w:vertAlign w:val="superscript"/>
                <w:lang w:eastAsia="zh-CN"/>
              </w:rPr>
              <w:t>①</w:t>
            </w:r>
          </w:p>
        </w:tc>
        <w:tc>
          <w:tcPr>
            <w:tcW w:w="3495"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铬</w:t>
            </w:r>
            <w:r>
              <w:rPr>
                <w:rFonts w:hint="eastAsia" w:ascii="宋体" w:hAnsi="宋体" w:cs="宋体"/>
                <w:color w:val="000000" w:themeColor="text1"/>
                <w:kern w:val="0"/>
                <w:sz w:val="20"/>
                <w:szCs w:val="20"/>
                <w:lang w:val="en-US" w:eastAsia="zh-CN"/>
              </w:rPr>
              <w:t>Cr</w:t>
            </w:r>
            <w:r>
              <w:rPr>
                <w:rFonts w:hint="eastAsia" w:ascii="宋体" w:hAnsi="宋体" w:cs="宋体"/>
                <w:color w:val="000000" w:themeColor="text1"/>
                <w:kern w:val="0"/>
                <w:sz w:val="18"/>
                <w:szCs w:val="18"/>
              </w:rPr>
              <w:t>含量</w:t>
            </w:r>
            <w:r>
              <w:rPr>
                <w:rFonts w:hint="eastAsia" w:ascii="宋体" w:hAnsi="宋体" w:cs="宋体"/>
                <w:color w:val="000000" w:themeColor="text1"/>
                <w:kern w:val="0"/>
                <w:sz w:val="20"/>
                <w:szCs w:val="20"/>
              </w:rPr>
              <w:t>(mg/</w:t>
            </w:r>
            <w:r>
              <w:rPr>
                <w:rFonts w:hint="eastAsia" w:ascii="宋体" w:hAnsi="宋体" w:cs="宋体"/>
                <w:color w:val="000000" w:themeColor="text1"/>
                <w:kern w:val="0"/>
                <w:sz w:val="20"/>
                <w:szCs w:val="20"/>
                <w:lang w:val="en-US" w:eastAsia="zh-CN"/>
              </w:rPr>
              <w:t>kg</w:t>
            </w:r>
            <w:r>
              <w:rPr>
                <w:rFonts w:hint="eastAsia" w:ascii="宋体" w:hAnsi="宋体" w:cs="宋体"/>
                <w:color w:val="000000" w:themeColor="text1"/>
                <w:kern w:val="0"/>
                <w:sz w:val="20"/>
                <w:szCs w:val="20"/>
              </w:rPr>
              <w:t>)</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1000</w:t>
            </w:r>
          </w:p>
        </w:tc>
      </w:tr>
      <w:tr>
        <w:tblPrEx>
          <w:tblLayout w:type="fixed"/>
          <w:tblCellMar>
            <w:top w:w="0" w:type="dxa"/>
            <w:left w:w="108" w:type="dxa"/>
            <w:bottom w:w="0" w:type="dxa"/>
            <w:right w:w="108" w:type="dxa"/>
          </w:tblCellMar>
        </w:tblPrEx>
        <w:trPr>
          <w:trHeight w:val="300" w:hRule="atLeast"/>
          <w:jc w:val="center"/>
        </w:trPr>
        <w:tc>
          <w:tcPr>
            <w:tcW w:w="881"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rPr>
            </w:pPr>
          </w:p>
        </w:tc>
        <w:tc>
          <w:tcPr>
            <w:tcW w:w="3495"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镉Cd含量(mg/kg)</w:t>
            </w:r>
            <w:r>
              <w:rPr>
                <w:rFonts w:hint="eastAsia" w:ascii="宋体" w:hAnsi="宋体" w:cs="宋体"/>
                <w:color w:val="000000" w:themeColor="text1"/>
                <w:kern w:val="0"/>
                <w:sz w:val="18"/>
                <w:szCs w:val="18"/>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20</w:t>
            </w:r>
          </w:p>
        </w:tc>
      </w:tr>
      <w:tr>
        <w:tblPrEx>
          <w:tblLayout w:type="fixed"/>
          <w:tblCellMar>
            <w:top w:w="0" w:type="dxa"/>
            <w:left w:w="108" w:type="dxa"/>
            <w:bottom w:w="0" w:type="dxa"/>
            <w:right w:w="108" w:type="dxa"/>
          </w:tblCellMar>
        </w:tblPrEx>
        <w:trPr>
          <w:trHeight w:val="90" w:hRule="atLeast"/>
          <w:jc w:val="center"/>
        </w:trPr>
        <w:tc>
          <w:tcPr>
            <w:tcW w:w="881"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rPr>
            </w:pPr>
          </w:p>
        </w:tc>
        <w:tc>
          <w:tcPr>
            <w:tcW w:w="3495"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铅Pb含量(mg/kg)</w:t>
            </w:r>
            <w:r>
              <w:rPr>
                <w:rFonts w:hint="eastAsia" w:ascii="宋体" w:hAnsi="宋体" w:cs="宋体"/>
                <w:color w:val="000000" w:themeColor="text1"/>
                <w:kern w:val="0"/>
                <w:sz w:val="18"/>
                <w:szCs w:val="18"/>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1000</w:t>
            </w:r>
          </w:p>
        </w:tc>
      </w:tr>
      <w:tr>
        <w:tblPrEx>
          <w:tblLayout w:type="fixed"/>
          <w:tblCellMar>
            <w:top w:w="0" w:type="dxa"/>
            <w:left w:w="108" w:type="dxa"/>
            <w:bottom w:w="0" w:type="dxa"/>
            <w:right w:w="108" w:type="dxa"/>
          </w:tblCellMar>
        </w:tblPrEx>
        <w:trPr>
          <w:trHeight w:val="90" w:hRule="atLeast"/>
          <w:jc w:val="center"/>
        </w:trPr>
        <w:tc>
          <w:tcPr>
            <w:tcW w:w="881"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rPr>
            </w:pPr>
          </w:p>
        </w:tc>
        <w:tc>
          <w:tcPr>
            <w:tcW w:w="3495" w:type="dxa"/>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18"/>
                <w:szCs w:val="18"/>
              </w:rPr>
            </w:pPr>
            <w:r>
              <w:rPr>
                <w:rFonts w:hint="eastAsia" w:ascii="宋体" w:hAnsi="宋体" w:cs="宋体"/>
                <w:color w:val="000000" w:themeColor="text1"/>
                <w:kern w:val="0"/>
                <w:sz w:val="18"/>
                <w:szCs w:val="18"/>
                <w:lang w:val="en-US" w:eastAsia="zh-CN"/>
              </w:rPr>
              <w:t>锌</w:t>
            </w:r>
            <w:r>
              <w:rPr>
                <w:rFonts w:hint="eastAsia" w:ascii="宋体" w:hAnsi="宋体" w:cs="宋体"/>
                <w:color w:val="000000" w:themeColor="text1"/>
                <w:kern w:val="0"/>
                <w:sz w:val="18"/>
                <w:szCs w:val="18"/>
                <w:lang w:val="en-US"/>
              </w:rPr>
              <w:t>Zn</w:t>
            </w:r>
            <w:r>
              <w:rPr>
                <w:rFonts w:hint="eastAsia" w:ascii="宋体" w:hAnsi="宋体" w:cs="宋体"/>
                <w:color w:val="000000" w:themeColor="text1"/>
                <w:kern w:val="0"/>
                <w:sz w:val="18"/>
                <w:szCs w:val="18"/>
              </w:rPr>
              <w:t>含量(mg/kg)</w:t>
            </w:r>
            <w:r>
              <w:rPr>
                <w:rFonts w:hint="eastAsia" w:ascii="宋体" w:hAnsi="宋体" w:cs="宋体"/>
                <w:color w:val="000000" w:themeColor="text1"/>
                <w:kern w:val="0"/>
                <w:sz w:val="18"/>
                <w:szCs w:val="18"/>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cs="宋体"/>
                <w:color w:val="000000" w:themeColor="text1"/>
                <w:kern w:val="0"/>
                <w:sz w:val="20"/>
                <w:szCs w:val="20"/>
                <w:lang w:eastAsia="zh-CN"/>
              </w:rPr>
            </w:pPr>
            <w:r>
              <w:rPr>
                <w:rFonts w:hint="eastAsia" w:ascii="宋体" w:hAnsi="宋体" w:cs="宋体"/>
                <w:color w:val="000000" w:themeColor="text1"/>
                <w:kern w:val="0"/>
                <w:sz w:val="20"/>
                <w:szCs w:val="20"/>
                <w:lang w:val="en-US" w:eastAsia="zh-CN"/>
              </w:rPr>
              <w:t>1000</w:t>
            </w:r>
          </w:p>
        </w:tc>
      </w:tr>
      <w:tr>
        <w:tblPrEx>
          <w:tblLayout w:type="fixed"/>
          <w:tblCellMar>
            <w:top w:w="0" w:type="dxa"/>
            <w:left w:w="108" w:type="dxa"/>
            <w:bottom w:w="0" w:type="dxa"/>
            <w:right w:w="108" w:type="dxa"/>
          </w:tblCellMar>
        </w:tblPrEx>
        <w:trPr>
          <w:trHeight w:val="300" w:hRule="atLeast"/>
          <w:jc w:val="center"/>
        </w:trPr>
        <w:tc>
          <w:tcPr>
            <w:tcW w:w="881"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放射性指标</w:t>
            </w:r>
          </w:p>
        </w:tc>
        <w:tc>
          <w:tcPr>
            <w:tcW w:w="3495"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内照指数</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eastAsia="zh-CN"/>
              </w:rPr>
            </w:pPr>
            <w:r>
              <w:rPr>
                <w:rFonts w:hint="eastAsia" w:ascii="宋体" w:hAnsi="宋体" w:cs="宋体"/>
                <w:color w:val="000000" w:themeColor="text1"/>
                <w:kern w:val="0"/>
                <w:sz w:val="20"/>
                <w:szCs w:val="20"/>
                <w:lang w:val="en-US" w:eastAsia="zh-CN"/>
              </w:rPr>
              <w:t>1.0</w:t>
            </w:r>
          </w:p>
        </w:tc>
      </w:tr>
      <w:tr>
        <w:tblPrEx>
          <w:tblLayout w:type="fixed"/>
          <w:tblCellMar>
            <w:top w:w="0" w:type="dxa"/>
            <w:left w:w="108" w:type="dxa"/>
            <w:bottom w:w="0" w:type="dxa"/>
            <w:right w:w="108" w:type="dxa"/>
          </w:tblCellMar>
        </w:tblPrEx>
        <w:trPr>
          <w:trHeight w:val="300" w:hRule="atLeast"/>
          <w:jc w:val="center"/>
        </w:trPr>
        <w:tc>
          <w:tcPr>
            <w:tcW w:w="881" w:type="dxa"/>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p>
        </w:tc>
        <w:tc>
          <w:tcPr>
            <w:tcW w:w="3495" w:type="dxa"/>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外照指数</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lang w:val="en-US" w:eastAsia="zh-CN"/>
              </w:rPr>
              <w:t>1.0</w:t>
            </w:r>
          </w:p>
        </w:tc>
      </w:tr>
      <w:tr>
        <w:tblPrEx>
          <w:tblLayout w:type="fixed"/>
          <w:tblCellMar>
            <w:top w:w="0" w:type="dxa"/>
            <w:left w:w="108" w:type="dxa"/>
            <w:bottom w:w="0" w:type="dxa"/>
            <w:right w:w="108" w:type="dxa"/>
          </w:tblCellMar>
        </w:tblPrEx>
        <w:trPr>
          <w:trHeight w:val="315" w:hRule="atLeast"/>
          <w:jc w:val="center"/>
        </w:trPr>
        <w:tc>
          <w:tcPr>
            <w:tcW w:w="437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氨（</w:t>
            </w:r>
            <w:r>
              <w:rPr>
                <w:color w:val="000000" w:themeColor="text1"/>
                <w:kern w:val="0"/>
                <w:sz w:val="20"/>
                <w:szCs w:val="20"/>
              </w:rPr>
              <w:t>mg/m</w:t>
            </w:r>
            <w:r>
              <w:rPr>
                <w:color w:val="000000" w:themeColor="text1"/>
                <w:kern w:val="0"/>
                <w:sz w:val="20"/>
                <w:szCs w:val="20"/>
                <w:vertAlign w:val="superscript"/>
              </w:rPr>
              <w:t>3</w:t>
            </w:r>
            <w:r>
              <w:rPr>
                <w:rFonts w:hint="eastAsia" w:ascii="宋体" w:hAnsi="宋体" w:cs="宋体"/>
                <w:color w:val="000000" w:themeColor="text1"/>
                <w:kern w:val="0"/>
                <w:sz w:val="20"/>
                <w:szCs w:val="20"/>
              </w:rPr>
              <w:t>）</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0.05</w:t>
            </w:r>
          </w:p>
        </w:tc>
      </w:tr>
      <w:tr>
        <w:tblPrEx>
          <w:tblLayout w:type="fixed"/>
          <w:tblCellMar>
            <w:top w:w="0" w:type="dxa"/>
            <w:left w:w="108" w:type="dxa"/>
            <w:bottom w:w="0" w:type="dxa"/>
            <w:right w:w="108" w:type="dxa"/>
          </w:tblCellMar>
        </w:tblPrEx>
        <w:trPr>
          <w:trHeight w:val="300" w:hRule="atLeast"/>
          <w:jc w:val="center"/>
        </w:trPr>
        <w:tc>
          <w:tcPr>
            <w:tcW w:w="437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24h浸泡PH值</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default" w:ascii="Times New Roman" w:hAnsi="Times New Roman" w:cs="Times New Roman"/>
                <w:color w:val="000000" w:themeColor="text1"/>
                <w:kern w:val="0"/>
                <w:sz w:val="20"/>
                <w:szCs w:val="20"/>
                <w:lang w:val="en-US" w:eastAsia="zh-CN"/>
              </w:rPr>
              <w:t>6~8</w:t>
            </w:r>
          </w:p>
        </w:tc>
      </w:tr>
      <w:tr>
        <w:tblPrEx>
          <w:tblLayout w:type="fixed"/>
          <w:tblCellMar>
            <w:top w:w="0" w:type="dxa"/>
            <w:left w:w="108" w:type="dxa"/>
            <w:bottom w:w="0" w:type="dxa"/>
            <w:right w:w="108" w:type="dxa"/>
          </w:tblCellMar>
        </w:tblPrEx>
        <w:trPr>
          <w:trHeight w:val="300" w:hRule="atLeast"/>
          <w:jc w:val="center"/>
        </w:trPr>
        <w:tc>
          <w:tcPr>
            <w:tcW w:w="437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苯（mg/</w:t>
            </w:r>
            <w:r>
              <w:rPr>
                <w:color w:val="000000" w:themeColor="text1"/>
                <w:kern w:val="0"/>
                <w:sz w:val="20"/>
                <w:szCs w:val="20"/>
              </w:rPr>
              <w:t xml:space="preserve"> m</w:t>
            </w:r>
            <w:r>
              <w:rPr>
                <w:color w:val="000000" w:themeColor="text1"/>
                <w:kern w:val="0"/>
                <w:sz w:val="20"/>
                <w:szCs w:val="20"/>
                <w:vertAlign w:val="superscript"/>
              </w:rPr>
              <w:t>3</w:t>
            </w:r>
            <w:r>
              <w:rPr>
                <w:rFonts w:hint="eastAsia" w:ascii="宋体" w:hAnsi="宋体" w:cs="宋体"/>
                <w:color w:val="000000" w:themeColor="text1"/>
                <w:kern w:val="0"/>
                <w:sz w:val="20"/>
                <w:szCs w:val="20"/>
              </w:rPr>
              <w:t>）</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lang w:eastAsia="zh-CN"/>
              </w:rPr>
              <w:t>≤</w:t>
            </w:r>
          </w:p>
        </w:tc>
        <w:tc>
          <w:tcPr>
            <w:tcW w:w="3276" w:type="dxa"/>
            <w:gridSpan w:val="3"/>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0.05</w:t>
            </w:r>
          </w:p>
        </w:tc>
      </w:tr>
    </w:tbl>
    <w:p>
      <w:pPr>
        <w:pStyle w:val="4"/>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sz w:val="28"/>
          <w:szCs w:val="28"/>
          <w:lang w:val="en-US" w:eastAsia="zh-CN"/>
        </w:rPr>
      </w:pPr>
      <w:r>
        <w:rPr>
          <w:rFonts w:hint="eastAsia" w:hAnsi="宋体" w:cs="宋体"/>
          <w:sz w:val="18"/>
          <w:szCs w:val="18"/>
          <w:lang w:val="en-US" w:eastAsia="zh-CN"/>
        </w:rPr>
        <w:t>注：此处重金属含量指标主要依据GB4284-1984《农用污泥中污染物控制标准》重金属离子含量采用电感耦合等离子体质谱（ICP-MS）检测，固体样依据DZ/T0223-2001《电感耦合等离子体质谱分析方法通则》，液体样依据DZ/T0064.80-93《地下水质检验方法等离子体质谱法测定锂等39个元素》测定。</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7.6试验方法、检验规则、标志、储存和运输</w:t>
      </w:r>
    </w:p>
    <w:p>
      <w:pPr>
        <w:spacing w:line="360" w:lineRule="auto"/>
        <w:ind w:firstLine="560" w:firstLineChars="200"/>
        <w:rPr>
          <w:rFonts w:hint="eastAsia" w:ascii="Times New Roman"/>
          <w:sz w:val="28"/>
          <w:szCs w:val="28"/>
          <w:lang w:val="en-US" w:eastAsia="zh-CN"/>
        </w:rPr>
      </w:pPr>
      <w:r>
        <w:rPr>
          <w:rFonts w:hint="eastAsia" w:ascii="Times New Roman"/>
          <w:sz w:val="28"/>
          <w:szCs w:val="28"/>
          <w:lang w:val="en-US" w:eastAsia="zh-CN"/>
        </w:rPr>
        <w:t>应符合GBT14684-2011建设用砂中7、8、9的相关规定。</w:t>
      </w:r>
    </w:p>
    <w:p>
      <w:pPr>
        <w:pStyle w:val="21"/>
        <w:numPr>
          <w:ilvl w:val="0"/>
          <w:numId w:val="2"/>
        </w:numPr>
        <w:spacing w:beforeLines="50" w:afterLines="50" w:line="360" w:lineRule="auto"/>
        <w:ind w:left="357" w:hanging="357" w:firstLineChars="0"/>
        <w:rPr>
          <w:rFonts w:ascii="Times New Roman" w:hAnsi="黑体" w:eastAsia="黑体" w:cs="Times New Roman"/>
          <w:sz w:val="28"/>
          <w:szCs w:val="28"/>
        </w:rPr>
      </w:pPr>
      <w:bookmarkStart w:id="5" w:name="_Toc467828982"/>
      <w:r>
        <w:rPr>
          <w:rFonts w:hint="eastAsia" w:ascii="Times New Roman" w:hAnsi="黑体" w:eastAsia="黑体" w:cs="Times New Roman"/>
          <w:sz w:val="28"/>
          <w:szCs w:val="28"/>
        </w:rPr>
        <w:t>标准执行要求</w:t>
      </w:r>
      <w:bookmarkEnd w:id="5"/>
    </w:p>
    <w:p>
      <w:pPr>
        <w:pStyle w:val="19"/>
        <w:spacing w:line="360" w:lineRule="auto"/>
        <w:ind w:left="360" w:firstLine="0" w:firstLineChars="0"/>
      </w:pPr>
      <w:r>
        <w:rPr>
          <w:rFonts w:hint="eastAsia" w:ascii="Times New Roman"/>
          <w:sz w:val="28"/>
          <w:szCs w:val="28"/>
        </w:rPr>
        <w:t>本标准为新制定标准，建议标准发布后设立6个月的过渡期。</w:t>
      </w:r>
    </w:p>
    <w:p>
      <w:pPr>
        <w:pStyle w:val="21"/>
        <w:numPr>
          <w:ilvl w:val="0"/>
          <w:numId w:val="2"/>
        </w:numPr>
        <w:spacing w:beforeLines="50" w:afterLines="50" w:line="360" w:lineRule="auto"/>
        <w:ind w:left="357" w:hanging="357" w:firstLineChars="0"/>
        <w:rPr>
          <w:rFonts w:ascii="Times New Roman" w:hAnsi="黑体" w:eastAsia="黑体" w:cs="Times New Roman"/>
          <w:sz w:val="28"/>
          <w:szCs w:val="28"/>
        </w:rPr>
      </w:pPr>
      <w:bookmarkStart w:id="6" w:name="_Toc467828984"/>
      <w:r>
        <w:rPr>
          <w:rFonts w:hint="eastAsia" w:ascii="Times New Roman" w:hAnsi="黑体" w:eastAsia="黑体" w:cs="Times New Roman"/>
          <w:sz w:val="28"/>
          <w:szCs w:val="28"/>
        </w:rPr>
        <w:t>其它应予说明的事项</w:t>
      </w:r>
      <w:bookmarkEnd w:id="6"/>
    </w:p>
    <w:p>
      <w:pPr>
        <w:pStyle w:val="19"/>
        <w:spacing w:line="360" w:lineRule="auto"/>
        <w:ind w:left="360" w:firstLine="0" w:firstLineChars="0"/>
        <w:rPr>
          <w:rFonts w:ascii="Times New Roman"/>
        </w:rPr>
      </w:pPr>
      <w:r>
        <w:rPr>
          <w:rFonts w:hint="eastAsia" w:ascii="Times New Roman"/>
          <w:sz w:val="28"/>
          <w:szCs w:val="28"/>
        </w:rPr>
        <w:t>无。</w:t>
      </w:r>
    </w:p>
    <w:p>
      <w:pPr>
        <w:jc w:val="center"/>
        <w:rPr>
          <w:rFonts w:ascii="黑体" w:eastAsia="黑体"/>
          <w:sz w:val="32"/>
          <w:szCs w:val="32"/>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汉鼎简书宋二">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Calibri Light">
    <w:altName w:val="Calibri"/>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927550"/>
    </w:sdtPr>
    <w:sdtContent>
      <w:p>
        <w:pPr>
          <w:pStyle w:val="6"/>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927552"/>
    </w:sdtPr>
    <w:sdtContent>
      <w:p>
        <w:pPr>
          <w:pStyle w:val="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927546"/>
    </w:sdtPr>
    <w:sdtContent>
      <w:p>
        <w:pPr>
          <w:pStyle w:val="6"/>
          <w:jc w:val="right"/>
        </w:pPr>
      </w:p>
    </w:sdtContent>
  </w:sdt>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2269"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284"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sz w:val="21"/>
      </w:rPr>
    </w:lvl>
    <w:lvl w:ilvl="5" w:tentative="0">
      <w:start w:val="1"/>
      <w:numFmt w:val="decimal"/>
      <w:pStyle w:val="2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1094983"/>
    <w:multiLevelType w:val="multilevel"/>
    <w:tmpl w:val="71094983"/>
    <w:lvl w:ilvl="0" w:tentative="0">
      <w:start w:val="1"/>
      <w:numFmt w:val="decimal"/>
      <w:lvlText w:val="%1."/>
      <w:lvlJc w:val="left"/>
      <w:pPr>
        <w:ind w:left="360" w:hanging="360"/>
      </w:pPr>
      <w:rPr>
        <w:rFonts w:hint="default"/>
      </w:rPr>
    </w:lvl>
    <w:lvl w:ilvl="1" w:tentative="0">
      <w:start w:val="3"/>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0B8D"/>
    <w:rsid w:val="000003C9"/>
    <w:rsid w:val="0001318D"/>
    <w:rsid w:val="000232FC"/>
    <w:rsid w:val="00070B8D"/>
    <w:rsid w:val="00075AD6"/>
    <w:rsid w:val="00097A8A"/>
    <w:rsid w:val="000B6957"/>
    <w:rsid w:val="00124C77"/>
    <w:rsid w:val="001E204D"/>
    <w:rsid w:val="00201916"/>
    <w:rsid w:val="00222735"/>
    <w:rsid w:val="0028614C"/>
    <w:rsid w:val="002A0696"/>
    <w:rsid w:val="00314488"/>
    <w:rsid w:val="0033549B"/>
    <w:rsid w:val="003B3285"/>
    <w:rsid w:val="003E3DF2"/>
    <w:rsid w:val="003E5DD1"/>
    <w:rsid w:val="003F549D"/>
    <w:rsid w:val="00406628"/>
    <w:rsid w:val="00430E0F"/>
    <w:rsid w:val="004437AB"/>
    <w:rsid w:val="0047138A"/>
    <w:rsid w:val="00555456"/>
    <w:rsid w:val="00577C9D"/>
    <w:rsid w:val="00611FFD"/>
    <w:rsid w:val="00612CE0"/>
    <w:rsid w:val="00614D0A"/>
    <w:rsid w:val="00693F83"/>
    <w:rsid w:val="006A6E89"/>
    <w:rsid w:val="00724042"/>
    <w:rsid w:val="007B2D4B"/>
    <w:rsid w:val="0080251B"/>
    <w:rsid w:val="0081310A"/>
    <w:rsid w:val="0088411C"/>
    <w:rsid w:val="008B451D"/>
    <w:rsid w:val="008C4B1A"/>
    <w:rsid w:val="008D6E28"/>
    <w:rsid w:val="00946EBB"/>
    <w:rsid w:val="009945BF"/>
    <w:rsid w:val="009D35A0"/>
    <w:rsid w:val="00A3722C"/>
    <w:rsid w:val="00B02725"/>
    <w:rsid w:val="00C124DB"/>
    <w:rsid w:val="00C218BF"/>
    <w:rsid w:val="00C5505E"/>
    <w:rsid w:val="00C72CC9"/>
    <w:rsid w:val="00C94CDF"/>
    <w:rsid w:val="00CF1E6C"/>
    <w:rsid w:val="00D039CF"/>
    <w:rsid w:val="00D35959"/>
    <w:rsid w:val="00D70D57"/>
    <w:rsid w:val="00D93FBF"/>
    <w:rsid w:val="00DF0031"/>
    <w:rsid w:val="00DF7C7B"/>
    <w:rsid w:val="00E2740A"/>
    <w:rsid w:val="00E62DB5"/>
    <w:rsid w:val="00EF42A7"/>
    <w:rsid w:val="00F01FD5"/>
    <w:rsid w:val="00F5776B"/>
    <w:rsid w:val="00F7295B"/>
    <w:rsid w:val="00F76C2F"/>
    <w:rsid w:val="06BE2BA2"/>
    <w:rsid w:val="08065051"/>
    <w:rsid w:val="08C958B5"/>
    <w:rsid w:val="15727822"/>
    <w:rsid w:val="1ABD61A8"/>
    <w:rsid w:val="23554AB6"/>
    <w:rsid w:val="26FE5367"/>
    <w:rsid w:val="3D3569E7"/>
    <w:rsid w:val="3D574B0C"/>
    <w:rsid w:val="3F8C291F"/>
    <w:rsid w:val="490F2D92"/>
    <w:rsid w:val="4E301663"/>
    <w:rsid w:val="5B6407EC"/>
    <w:rsid w:val="5ED2412B"/>
    <w:rsid w:val="67747642"/>
    <w:rsid w:val="68D6562B"/>
    <w:rsid w:val="71113CD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9"/>
    <w:pPr>
      <w:keepNext/>
      <w:keepLines/>
      <w:spacing w:before="340" w:after="330" w:line="480" w:lineRule="auto"/>
      <w:ind w:firstLine="200" w:firstLineChars="200"/>
      <w:outlineLvl w:val="0"/>
    </w:pPr>
    <w:rPr>
      <w:rFonts w:ascii="Calibri" w:hAnsi="Calibri" w:eastAsia="宋体" w:cs="Times New Roman"/>
      <w:b/>
      <w:bCs/>
      <w:kern w:val="44"/>
      <w:sz w:val="28"/>
      <w:szCs w:val="44"/>
    </w:rPr>
  </w:style>
  <w:style w:type="paragraph" w:styleId="3">
    <w:name w:val="heading 2"/>
    <w:basedOn w:val="1"/>
    <w:next w:val="1"/>
    <w:link w:val="12"/>
    <w:qFormat/>
    <w:uiPriority w:val="99"/>
    <w:pPr>
      <w:keepNext/>
      <w:keepLines/>
      <w:spacing w:before="260" w:after="260" w:line="416" w:lineRule="auto"/>
      <w:ind w:firstLine="200" w:firstLineChars="200"/>
      <w:outlineLvl w:val="1"/>
    </w:pPr>
    <w:rPr>
      <w:rFonts w:ascii="Cambria" w:hAnsi="Cambria" w:eastAsia="宋体" w:cs="Times New Roman"/>
      <w:b/>
      <w:bCs/>
      <w:sz w:val="24"/>
      <w:szCs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Courier New"/>
      <w:szCs w:val="21"/>
    </w:rPr>
  </w:style>
  <w:style w:type="paragraph" w:styleId="5">
    <w:name w:val="Balloon Text"/>
    <w:basedOn w:val="1"/>
    <w:link w:val="18"/>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pPr>
      <w:ind w:firstLine="200" w:firstLineChars="200"/>
    </w:pPr>
    <w:rPr>
      <w:rFonts w:ascii="Calibri" w:hAnsi="Calibri" w:eastAsia="宋体" w:cs="Times New Roman"/>
      <w:sz w:val="28"/>
    </w:rPr>
  </w:style>
  <w:style w:type="character" w:styleId="10">
    <w:name w:val="Hyperlink"/>
    <w:basedOn w:val="9"/>
    <w:qFormat/>
    <w:uiPriority w:val="99"/>
    <w:rPr>
      <w:rFonts w:cs="Times New Roman"/>
      <w:color w:val="0000FF"/>
      <w:u w:val="single"/>
    </w:rPr>
  </w:style>
  <w:style w:type="character" w:customStyle="1" w:styleId="12">
    <w:name w:val="标题 2 Char"/>
    <w:basedOn w:val="9"/>
    <w:link w:val="3"/>
    <w:qFormat/>
    <w:uiPriority w:val="99"/>
    <w:rPr>
      <w:rFonts w:ascii="Cambria" w:hAnsi="Cambria" w:eastAsia="宋体" w:cs="Times New Roman"/>
      <w:b/>
      <w:bCs/>
      <w:sz w:val="24"/>
      <w:szCs w:val="32"/>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qFormat/>
    <w:uiPriority w:val="99"/>
    <w:rPr>
      <w:sz w:val="18"/>
      <w:szCs w:val="18"/>
    </w:rPr>
  </w:style>
  <w:style w:type="character" w:customStyle="1" w:styleId="15">
    <w:name w:val="标题 1 Char"/>
    <w:basedOn w:val="9"/>
    <w:link w:val="2"/>
    <w:qFormat/>
    <w:uiPriority w:val="99"/>
    <w:rPr>
      <w:rFonts w:ascii="Calibri" w:hAnsi="Calibri" w:eastAsia="宋体" w:cs="Times New Roman"/>
      <w:b/>
      <w:bCs/>
      <w:kern w:val="44"/>
      <w:sz w:val="28"/>
      <w:szCs w:val="44"/>
    </w:rPr>
  </w:style>
  <w:style w:type="paragraph" w:customStyle="1" w:styleId="16">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7">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character" w:customStyle="1" w:styleId="18">
    <w:name w:val="批注框文本 Char"/>
    <w:basedOn w:val="9"/>
    <w:link w:val="5"/>
    <w:semiHidden/>
    <w:qFormat/>
    <w:uiPriority w:val="99"/>
    <w:rPr>
      <w:sz w:val="18"/>
      <w:szCs w:val="18"/>
    </w:rPr>
  </w:style>
  <w:style w:type="paragraph" w:customStyle="1" w:styleId="19">
    <w:name w:val="段"/>
    <w:link w:val="20"/>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0">
    <w:name w:val="段 Char"/>
    <w:basedOn w:val="9"/>
    <w:link w:val="19"/>
    <w:qFormat/>
    <w:uiPriority w:val="0"/>
    <w:rPr>
      <w:rFonts w:ascii="宋体" w:hAnsi="Times New Roman" w:eastAsia="宋体" w:cs="Times New Roman"/>
      <w:kern w:val="0"/>
      <w:szCs w:val="20"/>
    </w:rPr>
  </w:style>
  <w:style w:type="paragraph" w:customStyle="1" w:styleId="21">
    <w:name w:val="List Paragraph"/>
    <w:basedOn w:val="1"/>
    <w:qFormat/>
    <w:uiPriority w:val="34"/>
    <w:pPr>
      <w:ind w:firstLine="420" w:firstLineChars="200"/>
    </w:pPr>
  </w:style>
  <w:style w:type="paragraph" w:customStyle="1" w:styleId="22">
    <w:name w:val="一级条标题"/>
    <w:next w:val="19"/>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3">
    <w:name w:val="章标题"/>
    <w:next w:val="19"/>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4">
    <w:name w:val="二级条标题"/>
    <w:basedOn w:val="22"/>
    <w:next w:val="19"/>
    <w:qFormat/>
    <w:uiPriority w:val="0"/>
    <w:pPr>
      <w:numPr>
        <w:ilvl w:val="2"/>
      </w:numPr>
      <w:spacing w:before="50" w:after="50"/>
      <w:outlineLvl w:val="3"/>
    </w:pPr>
  </w:style>
  <w:style w:type="paragraph" w:customStyle="1" w:styleId="25">
    <w:name w:val="三级条标题"/>
    <w:basedOn w:val="24"/>
    <w:next w:val="19"/>
    <w:qFormat/>
    <w:uiPriority w:val="0"/>
    <w:pPr>
      <w:numPr>
        <w:ilvl w:val="3"/>
      </w:numPr>
      <w:outlineLvl w:val="4"/>
    </w:pPr>
  </w:style>
  <w:style w:type="paragraph" w:customStyle="1" w:styleId="26">
    <w:name w:val="四级条标题"/>
    <w:basedOn w:val="25"/>
    <w:next w:val="19"/>
    <w:qFormat/>
    <w:uiPriority w:val="0"/>
    <w:pPr>
      <w:numPr>
        <w:ilvl w:val="4"/>
      </w:numPr>
      <w:outlineLvl w:val="5"/>
    </w:pPr>
  </w:style>
  <w:style w:type="paragraph" w:customStyle="1" w:styleId="27">
    <w:name w:val="五级条标题"/>
    <w:basedOn w:val="26"/>
    <w:next w:val="19"/>
    <w:qFormat/>
    <w:uiPriority w:val="0"/>
    <w:pPr>
      <w:numPr>
        <w:ilvl w:val="5"/>
      </w:numPr>
      <w:outlineLvl w:val="6"/>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13A0F-8BF3-4F7F-9A48-9D222314518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318</Words>
  <Characters>1817</Characters>
  <Lines>15</Lines>
  <Paragraphs>4</Paragraphs>
  <ScaleCrop>false</ScaleCrop>
  <LinksUpToDate>false</LinksUpToDate>
  <CharactersWithSpaces>2131</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2016-11-28T09:15:00Z</dcterms:created>
  <dc:creator>nature</dc:creator>
  <cp:lastModifiedBy>apple</cp:lastModifiedBy>
  <dcterms:modified xsi:type="dcterms:W3CDTF">2017-05-23T03:53:37Z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