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411" w:rsidRPr="00214E4C" w:rsidRDefault="00DC3411" w:rsidP="00BC79AE"/>
    <w:p w:rsidR="001778C4" w:rsidRDefault="001778C4" w:rsidP="001778C4">
      <w:pPr>
        <w:spacing w:line="480" w:lineRule="auto"/>
        <w:ind w:firstLine="880"/>
        <w:jc w:val="center"/>
        <w:rPr>
          <w:sz w:val="44"/>
        </w:rPr>
      </w:pPr>
    </w:p>
    <w:p w:rsidR="0042122F" w:rsidRPr="0042122F" w:rsidRDefault="00DC3411" w:rsidP="0042122F">
      <w:pPr>
        <w:spacing w:line="480" w:lineRule="auto"/>
        <w:ind w:firstLineChars="0" w:firstLine="0"/>
        <w:jc w:val="center"/>
        <w:rPr>
          <w:rFonts w:ascii="黑体" w:eastAsia="黑体" w:hAnsi="黑体"/>
          <w:sz w:val="44"/>
          <w:szCs w:val="44"/>
        </w:rPr>
      </w:pPr>
      <w:r w:rsidRPr="0042122F">
        <w:rPr>
          <w:rFonts w:ascii="黑体" w:eastAsia="黑体" w:hAnsi="黑体" w:hint="eastAsia"/>
          <w:sz w:val="44"/>
          <w:szCs w:val="44"/>
        </w:rPr>
        <w:t>《</w:t>
      </w:r>
      <w:r w:rsidRPr="0042122F">
        <w:rPr>
          <w:rFonts w:ascii="黑体" w:eastAsia="黑体" w:hAnsi="黑体" w:hint="eastAsia"/>
          <w:bCs/>
          <w:sz w:val="44"/>
          <w:szCs w:val="44"/>
        </w:rPr>
        <w:t>绿色</w:t>
      </w:r>
      <w:r w:rsidR="00462F02" w:rsidRPr="0042122F">
        <w:rPr>
          <w:rFonts w:ascii="黑体" w:eastAsia="黑体" w:hAnsi="黑体" w:hint="eastAsia"/>
          <w:bCs/>
          <w:sz w:val="44"/>
          <w:szCs w:val="44"/>
        </w:rPr>
        <w:t>设计</w:t>
      </w:r>
      <w:r w:rsidRPr="0042122F">
        <w:rPr>
          <w:rFonts w:ascii="黑体" w:eastAsia="黑体" w:hAnsi="黑体" w:hint="eastAsia"/>
          <w:bCs/>
          <w:sz w:val="44"/>
          <w:szCs w:val="44"/>
        </w:rPr>
        <w:t>产品评价</w:t>
      </w:r>
      <w:r w:rsidR="00462F02" w:rsidRPr="0042122F">
        <w:rPr>
          <w:rFonts w:ascii="黑体" w:eastAsia="黑体" w:hAnsi="黑体" w:hint="eastAsia"/>
          <w:bCs/>
          <w:sz w:val="44"/>
          <w:szCs w:val="44"/>
        </w:rPr>
        <w:t>技术规范</w:t>
      </w:r>
      <w:r w:rsidRPr="0042122F">
        <w:rPr>
          <w:rFonts w:ascii="黑体" w:eastAsia="黑体" w:hAnsi="黑体" w:hint="eastAsia"/>
          <w:bCs/>
          <w:sz w:val="44"/>
          <w:szCs w:val="44"/>
        </w:rPr>
        <w:t xml:space="preserve"> </w:t>
      </w:r>
      <w:r w:rsidR="00462F02" w:rsidRPr="0042122F">
        <w:rPr>
          <w:rFonts w:ascii="黑体" w:eastAsia="黑体" w:hAnsi="黑体" w:hint="eastAsia"/>
          <w:sz w:val="44"/>
          <w:szCs w:val="44"/>
        </w:rPr>
        <w:t>硅藻泥、贝壳粉装饰壁材</w:t>
      </w:r>
      <w:r w:rsidRPr="0042122F">
        <w:rPr>
          <w:rFonts w:ascii="黑体" w:eastAsia="黑体" w:hAnsi="黑体" w:hint="eastAsia"/>
          <w:sz w:val="44"/>
          <w:szCs w:val="44"/>
        </w:rPr>
        <w:t>》</w:t>
      </w:r>
      <w:r w:rsidR="0042122F" w:rsidRPr="0042122F">
        <w:rPr>
          <w:rFonts w:ascii="黑体" w:eastAsia="黑体" w:hAnsi="黑体" w:hint="eastAsia"/>
          <w:sz w:val="44"/>
          <w:szCs w:val="44"/>
        </w:rPr>
        <w:t>行业标准</w:t>
      </w:r>
    </w:p>
    <w:p w:rsidR="00DC3411" w:rsidRPr="0042122F" w:rsidRDefault="00DC3411" w:rsidP="0042122F">
      <w:pPr>
        <w:spacing w:line="480" w:lineRule="auto"/>
        <w:ind w:firstLineChars="0" w:firstLine="0"/>
        <w:jc w:val="center"/>
        <w:rPr>
          <w:rFonts w:ascii="黑体" w:eastAsia="黑体" w:hAnsi="黑体"/>
          <w:sz w:val="56"/>
          <w:szCs w:val="52"/>
        </w:rPr>
      </w:pPr>
      <w:r w:rsidRPr="0042122F">
        <w:rPr>
          <w:rFonts w:ascii="黑体" w:eastAsia="黑体" w:hAnsi="黑体" w:hint="eastAsia"/>
          <w:sz w:val="56"/>
          <w:szCs w:val="52"/>
        </w:rPr>
        <w:t>编制说明</w:t>
      </w:r>
    </w:p>
    <w:p w:rsidR="001778C4" w:rsidRDefault="001778C4" w:rsidP="001778C4">
      <w:pPr>
        <w:spacing w:line="480" w:lineRule="auto"/>
        <w:ind w:firstLine="880"/>
        <w:jc w:val="center"/>
        <w:rPr>
          <w:rFonts w:ascii="黑体" w:eastAsia="黑体" w:hAnsi="黑体"/>
          <w:sz w:val="44"/>
        </w:rPr>
      </w:pPr>
    </w:p>
    <w:p w:rsidR="0042122F" w:rsidRDefault="0042122F" w:rsidP="001778C4">
      <w:pPr>
        <w:spacing w:line="480" w:lineRule="auto"/>
        <w:ind w:firstLine="880"/>
        <w:jc w:val="center"/>
        <w:rPr>
          <w:rFonts w:ascii="黑体" w:eastAsia="黑体" w:hAnsi="黑体"/>
          <w:sz w:val="44"/>
        </w:rPr>
      </w:pPr>
    </w:p>
    <w:p w:rsidR="0042122F" w:rsidRPr="0042122F" w:rsidRDefault="0042122F" w:rsidP="001778C4">
      <w:pPr>
        <w:spacing w:line="480" w:lineRule="auto"/>
        <w:ind w:firstLine="880"/>
        <w:jc w:val="center"/>
        <w:rPr>
          <w:rFonts w:ascii="黑体" w:eastAsia="黑体" w:hAnsi="黑体"/>
          <w:sz w:val="44"/>
        </w:rPr>
      </w:pPr>
    </w:p>
    <w:p w:rsidR="00DC3411" w:rsidRPr="001778C4" w:rsidRDefault="00DC3411" w:rsidP="0042122F">
      <w:pPr>
        <w:spacing w:line="480" w:lineRule="auto"/>
        <w:ind w:firstLineChars="0" w:firstLine="0"/>
        <w:jc w:val="center"/>
        <w:rPr>
          <w:sz w:val="44"/>
        </w:rPr>
      </w:pPr>
      <w:r w:rsidRPr="0042122F">
        <w:rPr>
          <w:rFonts w:ascii="黑体" w:eastAsia="黑体" w:hAnsi="黑体" w:hint="eastAsia"/>
          <w:sz w:val="44"/>
        </w:rPr>
        <w:t>（征求意见稿）</w:t>
      </w:r>
    </w:p>
    <w:p w:rsidR="00DC3411" w:rsidRPr="001778C4" w:rsidRDefault="00DC3411" w:rsidP="001778C4">
      <w:pPr>
        <w:spacing w:line="480" w:lineRule="auto"/>
        <w:ind w:firstLine="880"/>
        <w:jc w:val="center"/>
        <w:rPr>
          <w:sz w:val="44"/>
        </w:rPr>
      </w:pPr>
    </w:p>
    <w:p w:rsidR="00DC3411" w:rsidRPr="001778C4" w:rsidRDefault="00DC3411" w:rsidP="001778C4">
      <w:pPr>
        <w:spacing w:line="480" w:lineRule="auto"/>
        <w:ind w:firstLine="880"/>
        <w:jc w:val="center"/>
        <w:rPr>
          <w:sz w:val="44"/>
        </w:rPr>
      </w:pPr>
    </w:p>
    <w:p w:rsidR="00DC3411" w:rsidRDefault="00DC3411" w:rsidP="001778C4">
      <w:pPr>
        <w:spacing w:line="480" w:lineRule="auto"/>
        <w:ind w:firstLine="880"/>
        <w:jc w:val="center"/>
        <w:rPr>
          <w:sz w:val="44"/>
        </w:rPr>
      </w:pPr>
    </w:p>
    <w:p w:rsidR="001778C4" w:rsidRDefault="001778C4" w:rsidP="001778C4">
      <w:pPr>
        <w:spacing w:line="480" w:lineRule="auto"/>
        <w:ind w:firstLine="880"/>
        <w:jc w:val="center"/>
        <w:rPr>
          <w:sz w:val="44"/>
        </w:rPr>
      </w:pPr>
    </w:p>
    <w:p w:rsidR="001778C4" w:rsidRDefault="001778C4" w:rsidP="001778C4">
      <w:pPr>
        <w:spacing w:line="480" w:lineRule="auto"/>
        <w:ind w:firstLine="880"/>
        <w:jc w:val="center"/>
        <w:rPr>
          <w:sz w:val="44"/>
        </w:rPr>
      </w:pPr>
    </w:p>
    <w:p w:rsidR="001778C4" w:rsidRPr="001778C4" w:rsidRDefault="001778C4" w:rsidP="001778C4">
      <w:pPr>
        <w:spacing w:line="480" w:lineRule="auto"/>
        <w:ind w:firstLine="880"/>
        <w:jc w:val="center"/>
        <w:rPr>
          <w:sz w:val="44"/>
        </w:rPr>
      </w:pPr>
    </w:p>
    <w:p w:rsidR="00DC3411" w:rsidRPr="001778C4" w:rsidRDefault="00DC3411" w:rsidP="001778C4">
      <w:pPr>
        <w:spacing w:line="480" w:lineRule="auto"/>
        <w:ind w:firstLine="880"/>
        <w:jc w:val="center"/>
        <w:rPr>
          <w:sz w:val="44"/>
        </w:rPr>
      </w:pPr>
    </w:p>
    <w:p w:rsidR="00DC3411" w:rsidRPr="001778C4" w:rsidRDefault="00DC3411" w:rsidP="001778C4">
      <w:pPr>
        <w:spacing w:line="480" w:lineRule="auto"/>
        <w:ind w:firstLine="880"/>
        <w:jc w:val="center"/>
        <w:rPr>
          <w:sz w:val="44"/>
        </w:rPr>
      </w:pPr>
    </w:p>
    <w:p w:rsidR="00DC3411" w:rsidRPr="001778C4" w:rsidRDefault="00DC3411" w:rsidP="001778C4">
      <w:pPr>
        <w:spacing w:line="480" w:lineRule="auto"/>
        <w:ind w:firstLine="880"/>
        <w:jc w:val="center"/>
        <w:rPr>
          <w:sz w:val="44"/>
        </w:rPr>
      </w:pPr>
    </w:p>
    <w:p w:rsidR="00DC3411" w:rsidRPr="0042122F" w:rsidRDefault="0042122F" w:rsidP="0042122F">
      <w:pPr>
        <w:spacing w:line="480" w:lineRule="auto"/>
        <w:ind w:firstLineChars="0" w:firstLine="0"/>
        <w:jc w:val="center"/>
        <w:rPr>
          <w:rFonts w:asciiTheme="majorEastAsia" w:eastAsiaTheme="majorEastAsia" w:hAnsiTheme="majorEastAsia"/>
          <w:sz w:val="44"/>
        </w:rPr>
      </w:pPr>
      <w:r w:rsidRPr="0042122F">
        <w:rPr>
          <w:rFonts w:asciiTheme="majorEastAsia" w:eastAsiaTheme="majorEastAsia" w:hAnsiTheme="majorEastAsia" w:hint="eastAsia"/>
          <w:sz w:val="28"/>
          <w:szCs w:val="44"/>
        </w:rPr>
        <w:t>《</w:t>
      </w:r>
      <w:r w:rsidRPr="0042122F">
        <w:rPr>
          <w:rFonts w:asciiTheme="majorEastAsia" w:eastAsiaTheme="majorEastAsia" w:hAnsiTheme="majorEastAsia" w:hint="eastAsia"/>
          <w:bCs/>
          <w:sz w:val="28"/>
          <w:szCs w:val="44"/>
        </w:rPr>
        <w:t xml:space="preserve">绿色设计产品评价技术规范 </w:t>
      </w:r>
      <w:r w:rsidRPr="0042122F">
        <w:rPr>
          <w:rFonts w:asciiTheme="majorEastAsia" w:eastAsiaTheme="majorEastAsia" w:hAnsiTheme="majorEastAsia" w:hint="eastAsia"/>
          <w:sz w:val="28"/>
          <w:szCs w:val="44"/>
        </w:rPr>
        <w:t>硅藻泥、贝壳粉装饰壁材》行业标准制定小组</w:t>
      </w:r>
    </w:p>
    <w:p w:rsidR="00DC3411" w:rsidRPr="001778C4" w:rsidRDefault="00DC3411" w:rsidP="001778C4">
      <w:pPr>
        <w:spacing w:line="480" w:lineRule="auto"/>
        <w:ind w:firstLine="880"/>
        <w:jc w:val="center"/>
        <w:rPr>
          <w:sz w:val="44"/>
        </w:rPr>
      </w:pPr>
      <w:r w:rsidRPr="001778C4">
        <w:rPr>
          <w:rFonts w:hint="eastAsia"/>
          <w:sz w:val="44"/>
        </w:rPr>
        <w:t>二О</w:t>
      </w:r>
      <w:r w:rsidR="00462F02" w:rsidRPr="001778C4">
        <w:rPr>
          <w:rFonts w:hint="eastAsia"/>
          <w:sz w:val="44"/>
        </w:rPr>
        <w:t>二О</w:t>
      </w:r>
      <w:r w:rsidRPr="001778C4">
        <w:rPr>
          <w:rFonts w:hint="eastAsia"/>
          <w:sz w:val="44"/>
        </w:rPr>
        <w:t>年</w:t>
      </w:r>
      <w:r w:rsidR="00462F02" w:rsidRPr="001778C4">
        <w:rPr>
          <w:rFonts w:hint="eastAsia"/>
          <w:sz w:val="44"/>
        </w:rPr>
        <w:t>六</w:t>
      </w:r>
      <w:r w:rsidRPr="001778C4">
        <w:rPr>
          <w:rFonts w:hint="eastAsia"/>
          <w:sz w:val="44"/>
        </w:rPr>
        <w:t>月</w:t>
      </w:r>
      <w:r w:rsidR="0042122F">
        <w:rPr>
          <w:rFonts w:hint="eastAsia"/>
          <w:sz w:val="44"/>
        </w:rPr>
        <w:t xml:space="preserve"> 北京</w:t>
      </w:r>
    </w:p>
    <w:p w:rsidR="001778C4" w:rsidRDefault="001778C4" w:rsidP="001778C4">
      <w:pPr>
        <w:spacing w:line="480" w:lineRule="auto"/>
        <w:ind w:firstLine="880"/>
        <w:jc w:val="center"/>
        <w:rPr>
          <w:sz w:val="44"/>
        </w:rPr>
      </w:pPr>
    </w:p>
    <w:p w:rsidR="00DC3411" w:rsidRPr="00214E4C" w:rsidRDefault="00DC3411" w:rsidP="001778C4">
      <w:pPr>
        <w:spacing w:line="480" w:lineRule="auto"/>
        <w:ind w:firstLineChars="0" w:firstLine="0"/>
        <w:jc w:val="left"/>
      </w:pPr>
      <w:r w:rsidRPr="00214E4C">
        <w:rPr>
          <w:rFonts w:hint="eastAsia"/>
        </w:rPr>
        <w:lastRenderedPageBreak/>
        <w:t>（一）工作简况</w:t>
      </w:r>
    </w:p>
    <w:p w:rsidR="00DC3411" w:rsidRPr="00214E4C" w:rsidRDefault="00DC3411" w:rsidP="00BC79AE">
      <w:r w:rsidRPr="00214E4C">
        <w:rPr>
          <w:rFonts w:hint="eastAsia"/>
        </w:rPr>
        <w:t>任务来源</w:t>
      </w:r>
    </w:p>
    <w:p w:rsidR="00DC3411" w:rsidRPr="00214E4C" w:rsidRDefault="00DC3411" w:rsidP="00BC79AE">
      <w:r w:rsidRPr="00214E4C">
        <w:rPr>
          <w:rFonts w:hint="eastAsia"/>
        </w:rPr>
        <w:t>主要工作过程</w:t>
      </w:r>
    </w:p>
    <w:p w:rsidR="00DC3411" w:rsidRPr="00214E4C" w:rsidRDefault="00DC3411" w:rsidP="001778C4">
      <w:pPr>
        <w:ind w:firstLineChars="0" w:firstLine="0"/>
      </w:pPr>
      <w:r w:rsidRPr="00214E4C">
        <w:rPr>
          <w:rFonts w:hint="eastAsia"/>
        </w:rPr>
        <w:t>（二）标准编制原则和标准主要内容</w:t>
      </w:r>
    </w:p>
    <w:p w:rsidR="00DC3411" w:rsidRPr="00214E4C" w:rsidRDefault="00DC3411" w:rsidP="00BC79AE">
      <w:r w:rsidRPr="00214E4C">
        <w:rPr>
          <w:rFonts w:hint="eastAsia"/>
        </w:rPr>
        <w:t>1、标准编制原则</w:t>
      </w:r>
    </w:p>
    <w:p w:rsidR="00DC3411" w:rsidRPr="00214E4C" w:rsidRDefault="00DC3411" w:rsidP="00BC79AE">
      <w:r w:rsidRPr="00214E4C">
        <w:rPr>
          <w:rFonts w:hint="eastAsia"/>
        </w:rPr>
        <w:t>2、标准主要内容</w:t>
      </w:r>
      <w:r w:rsidRPr="00214E4C">
        <w:rPr>
          <w:rFonts w:hint="eastAsia"/>
        </w:rPr>
        <w:br/>
        <w:t>（三）验证试验、推广应用和预期达到的经济效果</w:t>
      </w:r>
    </w:p>
    <w:p w:rsidR="00DC3411" w:rsidRPr="00214E4C" w:rsidRDefault="00DC3411" w:rsidP="00BC79AE">
      <w:r w:rsidRPr="00214E4C">
        <w:t>1</w:t>
      </w:r>
      <w:r w:rsidRPr="00214E4C">
        <w:rPr>
          <w:rFonts w:hint="eastAsia"/>
        </w:rPr>
        <w:t>、验证试验</w:t>
      </w:r>
    </w:p>
    <w:p w:rsidR="00DC3411" w:rsidRPr="00214E4C" w:rsidRDefault="00DC3411" w:rsidP="00BC79AE">
      <w:r w:rsidRPr="00214E4C">
        <w:rPr>
          <w:rFonts w:hint="eastAsia"/>
        </w:rPr>
        <w:t>2、推广应用</w:t>
      </w:r>
    </w:p>
    <w:p w:rsidR="00DC3411" w:rsidRPr="00214E4C" w:rsidRDefault="00DC3411" w:rsidP="00BC79AE">
      <w:r w:rsidRPr="00214E4C">
        <w:t>3</w:t>
      </w:r>
      <w:r w:rsidRPr="00214E4C">
        <w:rPr>
          <w:rFonts w:hint="eastAsia"/>
        </w:rPr>
        <w:t>、预期达到的经济效果</w:t>
      </w:r>
      <w:r w:rsidRPr="00214E4C">
        <w:rPr>
          <w:rFonts w:hint="eastAsia"/>
        </w:rPr>
        <w:br/>
        <w:t>（四）采用国际标准和国外先进标准情况</w:t>
      </w:r>
    </w:p>
    <w:p w:rsidR="00DC3411" w:rsidRPr="00214E4C" w:rsidRDefault="00DC3411" w:rsidP="00DD49E5">
      <w:pPr>
        <w:ind w:firstLineChars="0" w:firstLine="0"/>
      </w:pPr>
      <w:r w:rsidRPr="00214E4C">
        <w:rPr>
          <w:rFonts w:hint="eastAsia"/>
        </w:rPr>
        <w:t>（五）与现行相关法律、法规、规章及相关标准的协调性</w:t>
      </w:r>
      <w:r w:rsidRPr="00214E4C">
        <w:rPr>
          <w:rFonts w:hint="eastAsia"/>
        </w:rPr>
        <w:br/>
        <w:t>（六）重大分歧意见的处理经过和依据</w:t>
      </w:r>
      <w:r w:rsidRPr="00214E4C">
        <w:rPr>
          <w:rFonts w:hint="eastAsia"/>
        </w:rPr>
        <w:br/>
        <w:t>（七）标准性质的建议说明</w:t>
      </w:r>
      <w:r w:rsidRPr="00214E4C">
        <w:rPr>
          <w:rFonts w:hint="eastAsia"/>
        </w:rPr>
        <w:br/>
        <w:t xml:space="preserve">（八）贯彻标准的要求和措施建议　　</w:t>
      </w:r>
    </w:p>
    <w:p w:rsidR="00DC3411" w:rsidRPr="00214E4C" w:rsidRDefault="00DC3411" w:rsidP="00DD49E5">
      <w:pPr>
        <w:ind w:firstLineChars="0" w:firstLine="0"/>
      </w:pPr>
      <w:r w:rsidRPr="00214E4C">
        <w:rPr>
          <w:rFonts w:hint="eastAsia"/>
        </w:rPr>
        <w:t>（九）废止现行有关标准的建议</w:t>
      </w:r>
      <w:r w:rsidRPr="00214E4C">
        <w:rPr>
          <w:rFonts w:hint="eastAsia"/>
        </w:rPr>
        <w:br/>
        <w:t>（十）其他应予说明的事项</w:t>
      </w:r>
    </w:p>
    <w:p w:rsidR="00DC3411" w:rsidRPr="00E92064" w:rsidRDefault="00DC3411" w:rsidP="00BC79AE"/>
    <w:p w:rsidR="00DC3411" w:rsidRPr="00E92064" w:rsidRDefault="00DC3411" w:rsidP="00BC79AE"/>
    <w:p w:rsidR="00DC3411" w:rsidRPr="00E92064" w:rsidRDefault="00DC3411" w:rsidP="00BC79AE"/>
    <w:p w:rsidR="00DC3411" w:rsidRDefault="00DC3411" w:rsidP="00BC79AE"/>
    <w:p w:rsidR="001778C4" w:rsidRDefault="001778C4" w:rsidP="00BC79AE"/>
    <w:p w:rsidR="001778C4" w:rsidRDefault="001778C4" w:rsidP="00BC79AE"/>
    <w:p w:rsidR="001778C4" w:rsidRDefault="001778C4" w:rsidP="00BC79AE"/>
    <w:p w:rsidR="001778C4" w:rsidRDefault="001778C4" w:rsidP="00BC79AE"/>
    <w:p w:rsidR="001778C4" w:rsidRPr="00E92064" w:rsidRDefault="001778C4" w:rsidP="00BC79AE"/>
    <w:p w:rsidR="00DC3411" w:rsidRPr="00E92064" w:rsidRDefault="00DC3411" w:rsidP="00BC79AE"/>
    <w:p w:rsidR="00DC3411" w:rsidRDefault="00DC3411" w:rsidP="00BC79AE"/>
    <w:p w:rsidR="00DC3411" w:rsidRDefault="00DC3411" w:rsidP="00BC79AE"/>
    <w:p w:rsidR="00E2537C" w:rsidRPr="007B6D04" w:rsidRDefault="00E2537C" w:rsidP="007B6D04">
      <w:pPr>
        <w:ind w:firstLine="562"/>
        <w:rPr>
          <w:b/>
          <w:sz w:val="28"/>
        </w:rPr>
      </w:pPr>
      <w:r w:rsidRPr="007B6D04">
        <w:rPr>
          <w:rFonts w:hint="eastAsia"/>
          <w:b/>
          <w:sz w:val="28"/>
        </w:rPr>
        <w:lastRenderedPageBreak/>
        <w:t>1</w:t>
      </w:r>
      <w:r w:rsidR="008C543E" w:rsidRPr="007B6D04">
        <w:rPr>
          <w:rFonts w:hint="eastAsia"/>
          <w:b/>
          <w:sz w:val="28"/>
        </w:rPr>
        <w:t>、</w:t>
      </w:r>
      <w:r w:rsidR="007B6D04" w:rsidRPr="007B6D04">
        <w:rPr>
          <w:b/>
          <w:sz w:val="28"/>
        </w:rPr>
        <w:t>工作简况</w:t>
      </w:r>
    </w:p>
    <w:p w:rsidR="007B6D04" w:rsidRPr="007B6D04" w:rsidRDefault="00DC3411" w:rsidP="007B6D04">
      <w:pPr>
        <w:ind w:firstLine="562"/>
        <w:rPr>
          <w:b/>
          <w:sz w:val="28"/>
        </w:rPr>
      </w:pPr>
      <w:r w:rsidRPr="007B6D04">
        <w:rPr>
          <w:rFonts w:hint="eastAsia"/>
          <w:b/>
          <w:sz w:val="28"/>
        </w:rPr>
        <w:t>1.1、</w:t>
      </w:r>
      <w:r w:rsidR="007B6D04" w:rsidRPr="007B6D04">
        <w:rPr>
          <w:rFonts w:hint="eastAsia"/>
          <w:b/>
          <w:sz w:val="28"/>
        </w:rPr>
        <w:t>任务来源</w:t>
      </w:r>
    </w:p>
    <w:p w:rsidR="00EE0D21" w:rsidRPr="00DC3411" w:rsidRDefault="00EE0D21" w:rsidP="00BC79AE">
      <w:r w:rsidRPr="00DC3411">
        <w:rPr>
          <w:rFonts w:hint="eastAsia"/>
        </w:rPr>
        <w:t>2016年7月21日，质检总局召开全面深化改革领导小组第七次全体会议。会议审议《绿色产品标准、认证、标识整合方案》。 会议指出，绿色产品标准、认证、标识整合，强制性产品认证目录改革任务等是供给侧改革的要求，是改善产品供给、提高产品品质、提升消费信心，满足人民群众消费需求的重要举措，是质检改革的重中之重。</w:t>
      </w:r>
    </w:p>
    <w:p w:rsidR="00266BAA" w:rsidRDefault="00266BAA" w:rsidP="00BC79AE">
      <w:r w:rsidRPr="00266BAA">
        <w:rPr>
          <w:rFonts w:hint="eastAsia"/>
        </w:rPr>
        <w:t>2016 年 6 月 30 日， 工信部制定了《工业绿色发展规划（2016-2020 年）》，提出</w:t>
      </w:r>
      <w:r>
        <w:rPr>
          <w:rFonts w:hint="eastAsia"/>
        </w:rPr>
        <w:t>:</w:t>
      </w:r>
      <w:r w:rsidRPr="00266BAA">
        <w:rPr>
          <w:rFonts w:hint="eastAsia"/>
        </w:rPr>
        <w:t>建立工业绿色设计产品标准体系，开展绿色设计试点示范，制定绿色产品评价标准，到2020 年力争创建百家绿色示范园区和千家绿色示范工厂， 推广普及万种绿色产品，主要产业初步形成绿色供应链。</w:t>
      </w:r>
    </w:p>
    <w:p w:rsidR="0009563F" w:rsidRDefault="0009563F" w:rsidP="00BC79AE">
      <w:r w:rsidRPr="00DC3411">
        <w:rPr>
          <w:rFonts w:hint="eastAsia"/>
        </w:rPr>
        <w:t>国家标准委认真落实国务院的部署要求，稳步推进绿色产品标准体系建设，于2016年印发《国家标准委办公室关于成立国家绿色产品评价标准化总体组的通知》（标委办工一〔2016〕157号），批复成立国家绿色产品评价标准化总体组。</w:t>
      </w:r>
      <w:r w:rsidR="00266BAA">
        <w:rPr>
          <w:rFonts w:hint="eastAsia"/>
        </w:rPr>
        <w:t>2019</w:t>
      </w:r>
      <w:r w:rsidRPr="00DC3411">
        <w:rPr>
          <w:rFonts w:hint="eastAsia"/>
        </w:rPr>
        <w:t>年2月16日，总体组成立大会暨第一次全体会议在北京召开，会议提出首批绿色产品评价标准清单建议。</w:t>
      </w:r>
    </w:p>
    <w:p w:rsidR="00266BAA" w:rsidRPr="00DC3411" w:rsidRDefault="00266BAA" w:rsidP="00BC79AE">
      <w:r>
        <w:rPr>
          <w:rFonts w:hint="eastAsia"/>
        </w:rPr>
        <w:t>2019年8月工业和信息化部发布第二批行业标准制修订计划，</w:t>
      </w:r>
      <w:r>
        <w:rPr>
          <w:rFonts w:hint="eastAsia"/>
        </w:rPr>
        <w:br/>
        <w:t>《</w:t>
      </w:r>
      <w:r w:rsidRPr="00266BAA">
        <w:t>绿色设计产品技术评价规范 硅藻泥、贝壳粉装饰壁材</w:t>
      </w:r>
      <w:r>
        <w:rPr>
          <w:rFonts w:hint="eastAsia"/>
        </w:rPr>
        <w:t>》立项，项目编号2019-066</w:t>
      </w:r>
      <w:r w:rsidR="003C556D">
        <w:rPr>
          <w:rFonts w:hint="eastAsia"/>
        </w:rPr>
        <w:t>4</w:t>
      </w:r>
      <w:r>
        <w:rPr>
          <w:rFonts w:hint="eastAsia"/>
        </w:rPr>
        <w:t>T-JC,技术归口单位为</w:t>
      </w:r>
      <w:r w:rsidRPr="00266BAA">
        <w:t>建材工业综合标准化技术委员会</w:t>
      </w:r>
      <w:r>
        <w:rPr>
          <w:rFonts w:hint="eastAsia"/>
        </w:rPr>
        <w:t>,中国建筑材料科学研究总院有限公司负责牵头标准指定工作。</w:t>
      </w:r>
    </w:p>
    <w:p w:rsidR="00E2537C" w:rsidRPr="007B6D04" w:rsidRDefault="007B6D04" w:rsidP="007B6D04">
      <w:pPr>
        <w:ind w:firstLineChars="0" w:firstLine="0"/>
        <w:rPr>
          <w:b/>
          <w:sz w:val="28"/>
        </w:rPr>
      </w:pPr>
      <w:r w:rsidRPr="007B6D04">
        <w:rPr>
          <w:rFonts w:hint="eastAsia"/>
          <w:b/>
          <w:sz w:val="28"/>
        </w:rPr>
        <w:t>1.2</w:t>
      </w:r>
      <w:r w:rsidR="008C543E" w:rsidRPr="007B6D04">
        <w:rPr>
          <w:rFonts w:hint="eastAsia"/>
          <w:b/>
          <w:sz w:val="28"/>
        </w:rPr>
        <w:t>、</w:t>
      </w:r>
      <w:r w:rsidR="00E2537C" w:rsidRPr="007B6D04">
        <w:rPr>
          <w:rFonts w:hint="eastAsia"/>
          <w:b/>
          <w:sz w:val="28"/>
        </w:rPr>
        <w:t>主要工作过程</w:t>
      </w:r>
    </w:p>
    <w:p w:rsidR="008C543E" w:rsidRPr="00DC3411" w:rsidRDefault="008C543E" w:rsidP="00BC79AE">
      <w:r w:rsidRPr="00DC3411">
        <w:rPr>
          <w:rFonts w:hint="eastAsia"/>
        </w:rPr>
        <w:t>标准起草从201</w:t>
      </w:r>
      <w:r w:rsidR="009B2047">
        <w:rPr>
          <w:rFonts w:hint="eastAsia"/>
        </w:rPr>
        <w:t>9</w:t>
      </w:r>
      <w:r w:rsidRPr="00DC3411">
        <w:rPr>
          <w:rFonts w:hint="eastAsia"/>
        </w:rPr>
        <w:t>年</w:t>
      </w:r>
      <w:r w:rsidR="009B2047">
        <w:rPr>
          <w:rFonts w:hint="eastAsia"/>
        </w:rPr>
        <w:t>9</w:t>
      </w:r>
      <w:r w:rsidRPr="00DC3411">
        <w:rPr>
          <w:rFonts w:hint="eastAsia"/>
        </w:rPr>
        <w:t>月开始，可分为阶段：</w:t>
      </w:r>
    </w:p>
    <w:p w:rsidR="008C543E" w:rsidRPr="00DC3411" w:rsidRDefault="008C543E" w:rsidP="00BC79AE">
      <w:r w:rsidRPr="00DC3411">
        <w:rPr>
          <w:rFonts w:hint="eastAsia"/>
        </w:rPr>
        <w:t>第一阶段：前期预研究及调研分析</w:t>
      </w:r>
    </w:p>
    <w:p w:rsidR="008C543E" w:rsidRPr="00DC3411" w:rsidRDefault="008C543E" w:rsidP="00BC79AE">
      <w:pPr>
        <w:rPr>
          <w:bCs/>
        </w:rPr>
      </w:pPr>
      <w:r w:rsidRPr="00DC3411">
        <w:rPr>
          <w:rFonts w:hint="eastAsia"/>
        </w:rPr>
        <w:t>按照“《</w:t>
      </w:r>
      <w:r w:rsidR="009B2047" w:rsidRPr="00CE5522">
        <w:rPr>
          <w:bCs/>
        </w:rPr>
        <w:t>绿色设计产品评价</w:t>
      </w:r>
      <w:r w:rsidR="009B2047">
        <w:rPr>
          <w:rFonts w:hint="eastAsia"/>
          <w:bCs/>
        </w:rPr>
        <w:t>硅藻泥、贝壳粉装饰壁材</w:t>
      </w:r>
      <w:r w:rsidRPr="00DC3411">
        <w:rPr>
          <w:rFonts w:hint="eastAsia"/>
        </w:rPr>
        <w:t>》</w:t>
      </w:r>
      <w:r w:rsidR="009B2047">
        <w:rPr>
          <w:rFonts w:hint="eastAsia"/>
        </w:rPr>
        <w:t>行业</w:t>
      </w:r>
      <w:r w:rsidRPr="00DC3411">
        <w:rPr>
          <w:rFonts w:hint="eastAsia"/>
        </w:rPr>
        <w:t>标准研制项目”标准化科研项目的任务要求，</w:t>
      </w:r>
      <w:r w:rsidR="009B2047" w:rsidRPr="00CE5522">
        <w:rPr>
          <w:rFonts w:hint="eastAsia"/>
          <w:bCs/>
        </w:rPr>
        <w:t>建材行业环境友好与有益健康建筑材料标委会</w:t>
      </w:r>
      <w:r w:rsidRPr="00DC3411">
        <w:rPr>
          <w:rFonts w:hint="eastAsia"/>
        </w:rPr>
        <w:t>对国内外绿色相关的标准进行了全部系统的梳理和比对分析，并发现了存在的问题。</w:t>
      </w:r>
      <w:r w:rsidR="009B2047" w:rsidRPr="009B2047">
        <w:rPr>
          <w:rFonts w:hint="eastAsia"/>
        </w:rPr>
        <w:t>硅藻泥、贝壳粉壁材企业以中小企业为主，行业集中度不高。企业做绿色评价的较少，技术力量不足，标准数据采集难度大，企业技术配合弱。</w:t>
      </w:r>
    </w:p>
    <w:p w:rsidR="008C543E" w:rsidRPr="00DC3411" w:rsidRDefault="008C543E" w:rsidP="00BC79AE">
      <w:r w:rsidRPr="00DC3411">
        <w:rPr>
          <w:rFonts w:hint="eastAsia"/>
        </w:rPr>
        <w:lastRenderedPageBreak/>
        <w:t>第二阶段：成立起草小组</w:t>
      </w:r>
    </w:p>
    <w:p w:rsidR="008C543E" w:rsidRPr="00DC3411" w:rsidRDefault="008C543E" w:rsidP="00BC79AE">
      <w:r w:rsidRPr="00DC3411">
        <w:rPr>
          <w:rFonts w:hint="eastAsia"/>
        </w:rPr>
        <w:t>20</w:t>
      </w:r>
      <w:r w:rsidR="009B2047">
        <w:rPr>
          <w:rFonts w:hint="eastAsia"/>
        </w:rPr>
        <w:t>19</w:t>
      </w:r>
      <w:r w:rsidRPr="00DC3411">
        <w:rPr>
          <w:rFonts w:hint="eastAsia"/>
        </w:rPr>
        <w:t>年</w:t>
      </w:r>
      <w:r w:rsidR="009B2047">
        <w:rPr>
          <w:rFonts w:hint="eastAsia"/>
        </w:rPr>
        <w:t>9</w:t>
      </w:r>
      <w:r w:rsidRPr="00DC3411">
        <w:rPr>
          <w:rFonts w:hint="eastAsia"/>
        </w:rPr>
        <w:t>月1日～3日，</w:t>
      </w:r>
      <w:r w:rsidR="009B2047" w:rsidRPr="00CE5522">
        <w:rPr>
          <w:rFonts w:hint="eastAsia"/>
        </w:rPr>
        <w:t>中国建筑材料科学研究总院水泥科学与新型建筑材料研究院、中国建筑材料联合会生态环境建材分会、建材行业环境友好与有益健康建筑材料标委会举办了</w:t>
      </w:r>
      <w:r w:rsidR="009B2047" w:rsidRPr="00CE5522">
        <w:t>《绿色设计产品评价</w:t>
      </w:r>
      <w:r w:rsidR="009B2047">
        <w:rPr>
          <w:rFonts w:hint="eastAsia"/>
        </w:rPr>
        <w:t>硅藻泥、贝壳粉装饰壁材</w:t>
      </w:r>
      <w:r w:rsidR="009B2047" w:rsidRPr="00CE5522">
        <w:t>》标准工作</w:t>
      </w:r>
      <w:r w:rsidR="009B2047">
        <w:rPr>
          <w:rFonts w:hint="eastAsia"/>
        </w:rPr>
        <w:t>启动</w:t>
      </w:r>
      <w:r w:rsidR="009B2047" w:rsidRPr="00CE5522">
        <w:t>会</w:t>
      </w:r>
      <w:r w:rsidR="009B2047">
        <w:rPr>
          <w:rFonts w:hint="eastAsia"/>
        </w:rPr>
        <w:t>,与会专家</w:t>
      </w:r>
      <w:r w:rsidRPr="00DC3411">
        <w:rPr>
          <w:rFonts w:hint="eastAsia"/>
        </w:rPr>
        <w:t>就</w:t>
      </w:r>
      <w:r w:rsidR="009B2047">
        <w:rPr>
          <w:rFonts w:hint="eastAsia"/>
        </w:rPr>
        <w:t>项目研究</w:t>
      </w:r>
      <w:r w:rsidRPr="00DC3411">
        <w:rPr>
          <w:rFonts w:hint="eastAsia"/>
        </w:rPr>
        <w:t>内容进行现场交流，</w:t>
      </w:r>
      <w:r w:rsidR="009B2047">
        <w:rPr>
          <w:rFonts w:hint="eastAsia"/>
        </w:rPr>
        <w:t>启动前期调研工作，并落实各</w:t>
      </w:r>
      <w:r w:rsidRPr="00DC3411">
        <w:rPr>
          <w:rFonts w:hint="eastAsia"/>
        </w:rPr>
        <w:t>自的分工合作。</w:t>
      </w:r>
    </w:p>
    <w:p w:rsidR="008C543E" w:rsidRPr="00DC3411" w:rsidRDefault="008C543E" w:rsidP="00BC79AE">
      <w:r w:rsidRPr="00DC3411">
        <w:rPr>
          <w:rFonts w:hint="eastAsia"/>
        </w:rPr>
        <w:t>第三阶段：标准起草阶段</w:t>
      </w:r>
    </w:p>
    <w:p w:rsidR="008C543E" w:rsidRPr="00DC3411" w:rsidRDefault="008C543E" w:rsidP="00BC79AE">
      <w:r w:rsidRPr="00DC3411">
        <w:rPr>
          <w:rFonts w:hint="eastAsia"/>
        </w:rPr>
        <w:t>20</w:t>
      </w:r>
      <w:r w:rsidR="00943B7C">
        <w:rPr>
          <w:rFonts w:hint="eastAsia"/>
        </w:rPr>
        <w:t>19</w:t>
      </w:r>
      <w:r w:rsidRPr="00DC3411">
        <w:rPr>
          <w:rFonts w:hint="eastAsia"/>
        </w:rPr>
        <w:t>年</w:t>
      </w:r>
      <w:r w:rsidR="00943B7C">
        <w:rPr>
          <w:rFonts w:hint="eastAsia"/>
        </w:rPr>
        <w:t>1</w:t>
      </w:r>
      <w:r w:rsidR="009B2047">
        <w:rPr>
          <w:rFonts w:hint="eastAsia"/>
        </w:rPr>
        <w:t>2</w:t>
      </w:r>
      <w:r w:rsidRPr="00DC3411">
        <w:rPr>
          <w:rFonts w:hint="eastAsia"/>
        </w:rPr>
        <w:t>月</w:t>
      </w:r>
      <w:r w:rsidR="00943B7C">
        <w:rPr>
          <w:rFonts w:hint="eastAsia"/>
        </w:rPr>
        <w:t>4</w:t>
      </w:r>
      <w:r w:rsidRPr="00DC3411">
        <w:rPr>
          <w:rFonts w:hint="eastAsia"/>
        </w:rPr>
        <w:t>日，在</w:t>
      </w:r>
      <w:r w:rsidR="00943B7C">
        <w:rPr>
          <w:rFonts w:hint="eastAsia"/>
        </w:rPr>
        <w:t>北京召开了</w:t>
      </w:r>
      <w:r w:rsidR="00943B7C" w:rsidRPr="00943B7C">
        <w:rPr>
          <w:rFonts w:hint="eastAsia"/>
        </w:rPr>
        <w:t>《绿色设计产品技术评价规范、硅藻泥、贝壳粉装饰壁材》建材行业标准工作会</w:t>
      </w:r>
      <w:r w:rsidRPr="00DC3411">
        <w:rPr>
          <w:rFonts w:hint="eastAsia"/>
        </w:rPr>
        <w:t>上进行了项目进展的汇报，积极传递绿色化的精神，引起涂料界强烈的反响。 20</w:t>
      </w:r>
      <w:r w:rsidR="00943B7C">
        <w:rPr>
          <w:rFonts w:hint="eastAsia"/>
        </w:rPr>
        <w:t>20</w:t>
      </w:r>
      <w:r w:rsidRPr="00DC3411">
        <w:rPr>
          <w:rFonts w:hint="eastAsia"/>
        </w:rPr>
        <w:t>年</w:t>
      </w:r>
      <w:r w:rsidR="00A308CB">
        <w:rPr>
          <w:rFonts w:hint="eastAsia"/>
        </w:rPr>
        <w:t>2</w:t>
      </w:r>
      <w:r w:rsidRPr="00DC3411">
        <w:rPr>
          <w:rFonts w:hint="eastAsia"/>
        </w:rPr>
        <w:t>月</w:t>
      </w:r>
      <w:r w:rsidR="00A308CB">
        <w:rPr>
          <w:rFonts w:hint="eastAsia"/>
        </w:rPr>
        <w:t>11</w:t>
      </w:r>
      <w:r w:rsidRPr="00DC3411">
        <w:rPr>
          <w:rFonts w:hint="eastAsia"/>
        </w:rPr>
        <w:t>日，完成《</w:t>
      </w:r>
      <w:r w:rsidR="00A308CB" w:rsidRPr="00CE5522">
        <w:t>绿色设计产品评价</w:t>
      </w:r>
      <w:r w:rsidR="00A308CB">
        <w:rPr>
          <w:rFonts w:hint="eastAsia"/>
        </w:rPr>
        <w:t>硅藻泥、贝壳粉装饰壁材</w:t>
      </w:r>
      <w:r w:rsidRPr="00DC3411">
        <w:rPr>
          <w:rFonts w:hint="eastAsia"/>
        </w:rPr>
        <w:t>》标准草案的编制。</w:t>
      </w:r>
    </w:p>
    <w:p w:rsidR="00244F13" w:rsidRDefault="008C543E" w:rsidP="00BC79AE">
      <w:r w:rsidRPr="00DC3411">
        <w:rPr>
          <w:rFonts w:hint="eastAsia"/>
        </w:rPr>
        <w:t>20</w:t>
      </w:r>
      <w:r w:rsidR="00A308CB">
        <w:rPr>
          <w:rFonts w:hint="eastAsia"/>
        </w:rPr>
        <w:t>20</w:t>
      </w:r>
      <w:r w:rsidRPr="00DC3411">
        <w:rPr>
          <w:rFonts w:hint="eastAsia"/>
        </w:rPr>
        <w:t>年</w:t>
      </w:r>
      <w:r w:rsidR="00A308CB">
        <w:rPr>
          <w:rFonts w:hint="eastAsia"/>
        </w:rPr>
        <w:t>4</w:t>
      </w:r>
      <w:r w:rsidRPr="00DC3411">
        <w:rPr>
          <w:rFonts w:hint="eastAsia"/>
        </w:rPr>
        <w:t>月20日，由</w:t>
      </w:r>
      <w:r w:rsidR="00A308CB">
        <w:rPr>
          <w:rFonts w:hint="eastAsia"/>
        </w:rPr>
        <w:t>建材行业环境友好与有益健康建筑材料标委会</w:t>
      </w:r>
      <w:r w:rsidRPr="00DC3411">
        <w:rPr>
          <w:rFonts w:hint="eastAsia"/>
        </w:rPr>
        <w:t>主办的《</w:t>
      </w:r>
      <w:r w:rsidR="00A308CB" w:rsidRPr="00CE5522">
        <w:t>绿色设计产品评价</w:t>
      </w:r>
      <w:r w:rsidR="00A308CB">
        <w:rPr>
          <w:rFonts w:hint="eastAsia"/>
        </w:rPr>
        <w:t>硅藻泥、贝壳粉装饰壁材</w:t>
      </w:r>
      <w:r w:rsidRPr="00DC3411">
        <w:rPr>
          <w:rFonts w:hint="eastAsia"/>
        </w:rPr>
        <w:t>》</w:t>
      </w:r>
      <w:r w:rsidR="00A308CB">
        <w:rPr>
          <w:rFonts w:hint="eastAsia"/>
        </w:rPr>
        <w:t>行业</w:t>
      </w:r>
      <w:r w:rsidRPr="00DC3411">
        <w:rPr>
          <w:rFonts w:hint="eastAsia"/>
        </w:rPr>
        <w:t>标准草案专家研讨会在</w:t>
      </w:r>
      <w:r w:rsidR="00A308CB">
        <w:rPr>
          <w:rFonts w:hint="eastAsia"/>
        </w:rPr>
        <w:t>北京通过视频会议的形式</w:t>
      </w:r>
      <w:r w:rsidRPr="00DC3411">
        <w:rPr>
          <w:rFonts w:hint="eastAsia"/>
        </w:rPr>
        <w:t>顺利召开，为《</w:t>
      </w:r>
      <w:r w:rsidR="00A308CB" w:rsidRPr="00CE5522">
        <w:t>绿色设计产品评价</w:t>
      </w:r>
      <w:r w:rsidR="00A308CB">
        <w:rPr>
          <w:rFonts w:hint="eastAsia"/>
        </w:rPr>
        <w:t>硅藻泥、贝壳粉装饰壁材》</w:t>
      </w:r>
      <w:r w:rsidRPr="00DC3411">
        <w:rPr>
          <w:rFonts w:hint="eastAsia"/>
        </w:rPr>
        <w:t>标准的制</w:t>
      </w:r>
      <w:r w:rsidR="00A308CB">
        <w:rPr>
          <w:rFonts w:hint="eastAsia"/>
        </w:rPr>
        <w:t>定</w:t>
      </w:r>
      <w:r w:rsidRPr="00DC3411">
        <w:rPr>
          <w:rFonts w:hint="eastAsia"/>
        </w:rPr>
        <w:t>工作把脉定调。会议邀请了</w:t>
      </w:r>
      <w:r w:rsidR="00A308CB">
        <w:rPr>
          <w:rFonts w:hint="eastAsia"/>
        </w:rPr>
        <w:t>30几家国内大大小小硅藻泥和贝壳粉生产企业的技术代表和企业负责人以及行业内的专家代表</w:t>
      </w:r>
      <w:r w:rsidRPr="00DC3411">
        <w:rPr>
          <w:rFonts w:hint="eastAsia"/>
        </w:rPr>
        <w:t>。专家对制定工作给予了充分肯定，并从指标体系的框架结构，到术语定义、各类指标选取等细节方面都提出了许多建设性意见。</w:t>
      </w:r>
      <w:r w:rsidR="00A308CB">
        <w:rPr>
          <w:rFonts w:hint="eastAsia"/>
        </w:rPr>
        <w:t>编制组还同步发放了企业数据调查表以及解释案例，以便各个企业在特殊时期通过线上的方式传递自身的产品全生命周期的评价数据以及产品相关的检测报告。</w:t>
      </w:r>
      <w:r w:rsidRPr="00DC3411">
        <w:rPr>
          <w:rFonts w:hint="eastAsia"/>
        </w:rPr>
        <w:t>与会专家就怎么定义绿色产品、如何界定其内涵和外延、绿色产品评价的适用范围、绿色产品标准体系框架应覆盖什么指标、如何建立绿色涂料产品评价指标体系、制定绿色涂料产品评价标准的原则、如何选择涂料产品类别来制定评价标准等问题提出了意见和建议。起草组根据专家意见对标准草案进行了全面修改完善。</w:t>
      </w:r>
    </w:p>
    <w:p w:rsidR="008C543E" w:rsidRPr="00DC3411" w:rsidRDefault="008C543E" w:rsidP="00BC79AE">
      <w:r w:rsidRPr="00DC3411">
        <w:rPr>
          <w:rFonts w:hint="eastAsia"/>
        </w:rPr>
        <w:t>20</w:t>
      </w:r>
      <w:r w:rsidR="00BC01D3">
        <w:rPr>
          <w:rFonts w:hint="eastAsia"/>
        </w:rPr>
        <w:t>20</w:t>
      </w:r>
      <w:r w:rsidRPr="00DC3411">
        <w:rPr>
          <w:rFonts w:hint="eastAsia"/>
        </w:rPr>
        <w:t>年</w:t>
      </w:r>
      <w:r w:rsidR="00BC01D3">
        <w:rPr>
          <w:rFonts w:hint="eastAsia"/>
        </w:rPr>
        <w:t>4</w:t>
      </w:r>
      <w:r w:rsidRPr="00DC3411">
        <w:rPr>
          <w:rFonts w:hint="eastAsia"/>
        </w:rPr>
        <w:t>月至</w:t>
      </w:r>
      <w:r w:rsidR="00BC01D3">
        <w:rPr>
          <w:rFonts w:hint="eastAsia"/>
        </w:rPr>
        <w:t>5</w:t>
      </w:r>
      <w:r w:rsidRPr="00DC3411">
        <w:rPr>
          <w:rFonts w:hint="eastAsia"/>
        </w:rPr>
        <w:t>月，起草组完成</w:t>
      </w:r>
      <w:r w:rsidR="00BC01D3">
        <w:rPr>
          <w:rFonts w:hint="eastAsia"/>
        </w:rPr>
        <w:t>春之元、比美特、涂乐师、沃土</w:t>
      </w:r>
      <w:r w:rsidRPr="00DC3411">
        <w:rPr>
          <w:rFonts w:hint="eastAsia"/>
        </w:rPr>
        <w:t>等多家</w:t>
      </w:r>
      <w:r w:rsidR="00BC01D3">
        <w:rPr>
          <w:rFonts w:hint="eastAsia"/>
        </w:rPr>
        <w:t>壁材</w:t>
      </w:r>
      <w:r w:rsidRPr="00DC3411">
        <w:rPr>
          <w:rFonts w:hint="eastAsia"/>
        </w:rPr>
        <w:t>行业领先企业的</w:t>
      </w:r>
      <w:r w:rsidR="00BC01D3">
        <w:rPr>
          <w:rFonts w:hint="eastAsia"/>
        </w:rPr>
        <w:t>线上</w:t>
      </w:r>
      <w:r w:rsidRPr="00DC3411">
        <w:rPr>
          <w:rFonts w:hint="eastAsia"/>
        </w:rPr>
        <w:t>调研，实地调研</w:t>
      </w:r>
      <w:r w:rsidR="00BC01D3">
        <w:rPr>
          <w:rFonts w:hint="eastAsia"/>
        </w:rPr>
        <w:t>壁材</w:t>
      </w:r>
      <w:r w:rsidRPr="00DC3411">
        <w:rPr>
          <w:rFonts w:hint="eastAsia"/>
        </w:rPr>
        <w:t>产品的从生产到应用全过程有关能耗、资源、污染物排放等要求。真实了解到企业的现场生产情况和实际技术水平，通过和</w:t>
      </w:r>
      <w:r w:rsidR="00BC01D3">
        <w:rPr>
          <w:rFonts w:hint="eastAsia"/>
        </w:rPr>
        <w:t>壁材</w:t>
      </w:r>
      <w:r w:rsidRPr="00DC3411">
        <w:rPr>
          <w:rFonts w:hint="eastAsia"/>
        </w:rPr>
        <w:t>行业领先企业的</w:t>
      </w:r>
      <w:r w:rsidR="00BC01D3">
        <w:rPr>
          <w:rFonts w:hint="eastAsia"/>
        </w:rPr>
        <w:t>线上</w:t>
      </w:r>
      <w:r w:rsidRPr="00DC3411">
        <w:rPr>
          <w:rFonts w:hint="eastAsia"/>
        </w:rPr>
        <w:t>交流，收集了大量的技术资料和反馈意见，听到了很多真实的声音，为绿色</w:t>
      </w:r>
      <w:r w:rsidR="00BC01D3">
        <w:rPr>
          <w:rFonts w:hint="eastAsia"/>
        </w:rPr>
        <w:t>设计产品评价 硅藻泥、贝壳粉装饰壁材</w:t>
      </w:r>
      <w:r w:rsidRPr="00DC3411">
        <w:rPr>
          <w:rFonts w:hint="eastAsia"/>
        </w:rPr>
        <w:t>标准征求意见</w:t>
      </w:r>
      <w:r w:rsidRPr="00DC3411">
        <w:rPr>
          <w:rFonts w:hint="eastAsia"/>
        </w:rPr>
        <w:lastRenderedPageBreak/>
        <w:t xml:space="preserve">稿的落地打下来基础。 </w:t>
      </w:r>
    </w:p>
    <w:p w:rsidR="008C543E" w:rsidRDefault="008C543E" w:rsidP="00BC79AE">
      <w:r w:rsidRPr="00DC3411">
        <w:rPr>
          <w:rFonts w:hint="eastAsia"/>
        </w:rPr>
        <w:t>起草组根据研讨会意见以及实地调研企业的意见，修改形成征求意见稿。</w:t>
      </w:r>
    </w:p>
    <w:p w:rsidR="0042122F" w:rsidRDefault="0042122F" w:rsidP="0042122F">
      <w:pPr>
        <w:ind w:firstLineChars="0" w:firstLine="0"/>
        <w:rPr>
          <w:b/>
        </w:rPr>
      </w:pPr>
      <w:r w:rsidRPr="0042122F">
        <w:rPr>
          <w:rFonts w:hint="eastAsia"/>
          <w:b/>
        </w:rPr>
        <w:t>1.3 主要参加单位和工作组成员及其所做的工作</w:t>
      </w:r>
    </w:p>
    <w:p w:rsidR="0042122F" w:rsidRPr="0042122F" w:rsidRDefault="0042122F" w:rsidP="0042122F">
      <w:pPr>
        <w:spacing w:line="240" w:lineRule="auto"/>
        <w:rPr>
          <w:rFonts w:ascii="Times New Roman" w:eastAsia="宋体" w:hAnsi="Times New Roman"/>
          <w:color w:val="FF0000"/>
        </w:rPr>
      </w:pPr>
      <w:r w:rsidRPr="0042122F">
        <w:rPr>
          <w:rFonts w:ascii="Times New Roman" w:eastAsia="宋体" w:hAnsi="Times New Roman" w:hint="eastAsia"/>
        </w:rPr>
        <w:t>本项目由中国</w:t>
      </w:r>
      <w:r>
        <w:rPr>
          <w:rFonts w:ascii="Times New Roman" w:eastAsia="宋体" w:hAnsi="Times New Roman" w:hint="eastAsia"/>
        </w:rPr>
        <w:t>建筑材料科学研究总院</w:t>
      </w:r>
      <w:r w:rsidRPr="0042122F">
        <w:rPr>
          <w:rFonts w:ascii="Times New Roman" w:eastAsia="宋体" w:hAnsi="Times New Roman" w:hint="eastAsia"/>
        </w:rPr>
        <w:t>有限公司主要负责执行，并邀请业内有代表性的单位和相关专家参加。通过他们参与调研、资料收集、样品收集、标准讨论、验证试验等工作，为标准的编制提供保障。标准制定组成员的工作分工见表</w:t>
      </w:r>
      <w:r w:rsidRPr="0042122F">
        <w:rPr>
          <w:rFonts w:ascii="Times New Roman" w:eastAsia="宋体" w:hAnsi="Times New Roman" w:hint="eastAsia"/>
        </w:rPr>
        <w:t>1</w:t>
      </w:r>
      <w:r w:rsidRPr="0042122F">
        <w:rPr>
          <w:rFonts w:ascii="Times New Roman" w:eastAsia="宋体" w:hAnsi="Times New Roman" w:hint="eastAsia"/>
        </w:rPr>
        <w:t>（后详细补充）。</w:t>
      </w:r>
    </w:p>
    <w:p w:rsidR="0042122F" w:rsidRPr="0042122F" w:rsidRDefault="0042122F" w:rsidP="0042122F">
      <w:pPr>
        <w:spacing w:line="240" w:lineRule="auto"/>
        <w:ind w:firstLineChars="0" w:firstLine="0"/>
        <w:jc w:val="center"/>
        <w:rPr>
          <w:rFonts w:ascii="Times New Roman" w:eastAsia="宋体" w:hAnsi="Times New Roman"/>
        </w:rPr>
      </w:pPr>
      <w:r w:rsidRPr="0042122F">
        <w:rPr>
          <w:rFonts w:ascii="Times New Roman" w:eastAsia="宋体" w:hAnsi="Times New Roman" w:hint="eastAsia"/>
        </w:rPr>
        <w:t>表</w:t>
      </w:r>
      <w:r w:rsidRPr="0042122F">
        <w:rPr>
          <w:rFonts w:ascii="Times New Roman" w:eastAsia="宋体" w:hAnsi="Times New Roman" w:hint="eastAsia"/>
        </w:rPr>
        <w:t xml:space="preserve">1  </w:t>
      </w:r>
      <w:r w:rsidRPr="0042122F">
        <w:rPr>
          <w:rFonts w:ascii="Times New Roman" w:eastAsia="宋体" w:hAnsi="Times New Roman" w:hint="eastAsia"/>
        </w:rPr>
        <w:t>编制组成员及分工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1822"/>
        <w:gridCol w:w="6013"/>
      </w:tblGrid>
      <w:tr w:rsidR="0042122F" w:rsidRPr="0042122F" w:rsidTr="000B6C61">
        <w:trPr>
          <w:jc w:val="center"/>
        </w:trPr>
        <w:tc>
          <w:tcPr>
            <w:tcW w:w="690" w:type="dxa"/>
            <w:vAlign w:val="center"/>
          </w:tcPr>
          <w:p w:rsidR="0042122F" w:rsidRPr="0042122F" w:rsidRDefault="0042122F" w:rsidP="0042122F">
            <w:pPr>
              <w:spacing w:line="340" w:lineRule="exact"/>
              <w:ind w:firstLineChars="0" w:firstLine="0"/>
              <w:jc w:val="center"/>
              <w:rPr>
                <w:rFonts w:ascii="Times New Roman" w:eastAsia="宋体" w:hAnsi="Times New Roman"/>
              </w:rPr>
            </w:pPr>
            <w:r w:rsidRPr="0042122F">
              <w:rPr>
                <w:rFonts w:ascii="Times New Roman" w:eastAsia="宋体" w:hAnsi="Times New Roman" w:hint="eastAsia"/>
              </w:rPr>
              <w:t>序号</w:t>
            </w:r>
          </w:p>
        </w:tc>
        <w:tc>
          <w:tcPr>
            <w:tcW w:w="1843" w:type="dxa"/>
            <w:vAlign w:val="center"/>
          </w:tcPr>
          <w:p w:rsidR="0042122F" w:rsidRPr="0042122F" w:rsidRDefault="0042122F" w:rsidP="0042122F">
            <w:pPr>
              <w:spacing w:line="340" w:lineRule="exact"/>
              <w:ind w:firstLineChars="0" w:firstLine="0"/>
              <w:jc w:val="center"/>
              <w:rPr>
                <w:rFonts w:ascii="Times New Roman" w:eastAsia="宋体" w:hAnsi="Times New Roman"/>
              </w:rPr>
            </w:pPr>
            <w:r w:rsidRPr="0042122F">
              <w:rPr>
                <w:rFonts w:ascii="Times New Roman" w:eastAsia="宋体" w:hAnsi="Times New Roman" w:hint="eastAsia"/>
              </w:rPr>
              <w:t>姓名</w:t>
            </w:r>
          </w:p>
        </w:tc>
        <w:tc>
          <w:tcPr>
            <w:tcW w:w="6095" w:type="dxa"/>
            <w:vAlign w:val="center"/>
          </w:tcPr>
          <w:p w:rsidR="0042122F" w:rsidRPr="0042122F" w:rsidRDefault="0042122F" w:rsidP="0042122F">
            <w:pPr>
              <w:spacing w:line="340" w:lineRule="exact"/>
              <w:ind w:firstLineChars="0" w:firstLine="0"/>
              <w:jc w:val="center"/>
              <w:rPr>
                <w:rFonts w:ascii="Times New Roman" w:eastAsia="宋体" w:hAnsi="Times New Roman"/>
              </w:rPr>
            </w:pPr>
            <w:r w:rsidRPr="0042122F">
              <w:rPr>
                <w:rFonts w:ascii="Times New Roman" w:eastAsia="宋体" w:hAnsi="Times New Roman" w:hint="eastAsia"/>
              </w:rPr>
              <w:t>负责工作内容</w:t>
            </w:r>
          </w:p>
        </w:tc>
      </w:tr>
      <w:tr w:rsidR="0042122F" w:rsidRPr="0042122F" w:rsidTr="000B6C61">
        <w:trPr>
          <w:jc w:val="center"/>
        </w:trPr>
        <w:tc>
          <w:tcPr>
            <w:tcW w:w="690" w:type="dxa"/>
            <w:vAlign w:val="center"/>
          </w:tcPr>
          <w:p w:rsidR="0042122F" w:rsidRPr="0042122F" w:rsidRDefault="0042122F" w:rsidP="0042122F">
            <w:pPr>
              <w:spacing w:line="340" w:lineRule="exact"/>
              <w:ind w:firstLineChars="0" w:firstLine="0"/>
              <w:jc w:val="center"/>
              <w:rPr>
                <w:rFonts w:ascii="Times New Roman" w:eastAsia="宋体" w:hAnsi="Times New Roman"/>
              </w:rPr>
            </w:pPr>
            <w:r w:rsidRPr="0042122F">
              <w:rPr>
                <w:rFonts w:ascii="Times New Roman" w:eastAsia="宋体" w:hAnsi="Times New Roman" w:hint="eastAsia"/>
              </w:rPr>
              <w:t>1</w:t>
            </w:r>
          </w:p>
        </w:tc>
        <w:tc>
          <w:tcPr>
            <w:tcW w:w="1843" w:type="dxa"/>
            <w:vAlign w:val="center"/>
          </w:tcPr>
          <w:p w:rsidR="0042122F" w:rsidRPr="0042122F" w:rsidRDefault="00977E34" w:rsidP="0042122F">
            <w:pPr>
              <w:spacing w:line="340" w:lineRule="exact"/>
              <w:ind w:firstLineChars="0" w:firstLine="0"/>
              <w:jc w:val="center"/>
              <w:rPr>
                <w:rFonts w:ascii="Times New Roman" w:eastAsia="宋体" w:hAnsi="Times New Roman"/>
              </w:rPr>
            </w:pPr>
            <w:r>
              <w:rPr>
                <w:rFonts w:ascii="Times New Roman" w:eastAsia="宋体" w:hAnsi="Times New Roman" w:hint="eastAsia"/>
              </w:rPr>
              <w:t>曹延鑫</w:t>
            </w:r>
          </w:p>
        </w:tc>
        <w:tc>
          <w:tcPr>
            <w:tcW w:w="6095" w:type="dxa"/>
            <w:vAlign w:val="center"/>
          </w:tcPr>
          <w:p w:rsidR="0042122F" w:rsidRPr="0042122F" w:rsidRDefault="0042122F" w:rsidP="0042122F">
            <w:pPr>
              <w:spacing w:line="340" w:lineRule="exact"/>
              <w:ind w:firstLineChars="0" w:firstLine="0"/>
              <w:jc w:val="left"/>
              <w:rPr>
                <w:rFonts w:ascii="Times New Roman" w:eastAsia="宋体" w:hAnsi="Times New Roman"/>
              </w:rPr>
            </w:pPr>
            <w:r w:rsidRPr="0042122F">
              <w:rPr>
                <w:rFonts w:ascii="Times New Roman" w:eastAsia="宋体" w:hAnsi="Times New Roman" w:hint="eastAsia"/>
              </w:rPr>
              <w:t>总负责，组织协调标准制定全部工作，标准文本、编制说明、研究报告的主要执笔人。</w:t>
            </w:r>
          </w:p>
        </w:tc>
      </w:tr>
      <w:tr w:rsidR="0042122F" w:rsidRPr="0042122F" w:rsidTr="000B6C61">
        <w:trPr>
          <w:jc w:val="center"/>
        </w:trPr>
        <w:tc>
          <w:tcPr>
            <w:tcW w:w="690" w:type="dxa"/>
            <w:vAlign w:val="center"/>
          </w:tcPr>
          <w:p w:rsidR="0042122F" w:rsidRPr="0042122F" w:rsidRDefault="0042122F" w:rsidP="0042122F">
            <w:pPr>
              <w:spacing w:line="340" w:lineRule="exact"/>
              <w:ind w:firstLineChars="0" w:firstLine="0"/>
              <w:jc w:val="center"/>
              <w:rPr>
                <w:rFonts w:ascii="Times New Roman" w:eastAsia="宋体" w:hAnsi="Times New Roman"/>
              </w:rPr>
            </w:pPr>
            <w:r w:rsidRPr="0042122F">
              <w:rPr>
                <w:rFonts w:ascii="Times New Roman" w:eastAsia="宋体" w:hAnsi="Times New Roman" w:hint="eastAsia"/>
              </w:rPr>
              <w:t>2</w:t>
            </w:r>
          </w:p>
        </w:tc>
        <w:tc>
          <w:tcPr>
            <w:tcW w:w="1843" w:type="dxa"/>
            <w:vAlign w:val="center"/>
          </w:tcPr>
          <w:p w:rsidR="0042122F" w:rsidRPr="0042122F" w:rsidRDefault="0042122F" w:rsidP="0042122F">
            <w:pPr>
              <w:spacing w:line="340" w:lineRule="exact"/>
              <w:ind w:firstLineChars="0" w:firstLine="0"/>
              <w:jc w:val="center"/>
              <w:rPr>
                <w:rFonts w:ascii="Times New Roman" w:eastAsia="宋体" w:hAnsi="Times New Roman"/>
              </w:rPr>
            </w:pPr>
            <w:r w:rsidRPr="0042122F">
              <w:rPr>
                <w:rFonts w:ascii="Times New Roman" w:eastAsia="宋体" w:hAnsi="Times New Roman" w:hint="eastAsia"/>
              </w:rPr>
              <w:t>-</w:t>
            </w:r>
          </w:p>
        </w:tc>
        <w:tc>
          <w:tcPr>
            <w:tcW w:w="6095" w:type="dxa"/>
            <w:vAlign w:val="center"/>
          </w:tcPr>
          <w:p w:rsidR="0042122F" w:rsidRPr="0042122F" w:rsidRDefault="0042122F" w:rsidP="0042122F">
            <w:pPr>
              <w:spacing w:line="340" w:lineRule="exact"/>
              <w:ind w:firstLineChars="0" w:firstLine="0"/>
              <w:jc w:val="left"/>
              <w:rPr>
                <w:rFonts w:ascii="Times New Roman" w:eastAsia="宋体" w:hAnsi="Times New Roman"/>
              </w:rPr>
            </w:pPr>
            <w:r w:rsidRPr="0042122F">
              <w:rPr>
                <w:rFonts w:ascii="Times New Roman" w:eastAsia="宋体" w:hAnsi="Times New Roman" w:hint="eastAsia"/>
              </w:rPr>
              <w:t>负责资料收集，参与调研、试验验证，调研报告、验证报告的执笔人，并组织标准的征求意见和意见汇总以及标准的送审和报批工作。</w:t>
            </w:r>
          </w:p>
        </w:tc>
      </w:tr>
      <w:tr w:rsidR="0042122F" w:rsidRPr="0042122F" w:rsidTr="000B6C61">
        <w:trPr>
          <w:jc w:val="center"/>
        </w:trPr>
        <w:tc>
          <w:tcPr>
            <w:tcW w:w="690" w:type="dxa"/>
            <w:vAlign w:val="center"/>
          </w:tcPr>
          <w:p w:rsidR="0042122F" w:rsidRPr="0042122F" w:rsidRDefault="0042122F" w:rsidP="0042122F">
            <w:pPr>
              <w:spacing w:line="340" w:lineRule="exact"/>
              <w:ind w:firstLineChars="0" w:firstLine="0"/>
              <w:jc w:val="center"/>
              <w:rPr>
                <w:rFonts w:ascii="Times New Roman" w:eastAsia="宋体" w:hAnsi="Times New Roman"/>
              </w:rPr>
            </w:pPr>
            <w:r w:rsidRPr="0042122F">
              <w:rPr>
                <w:rFonts w:ascii="Times New Roman" w:eastAsia="宋体" w:hAnsi="Times New Roman" w:hint="eastAsia"/>
              </w:rPr>
              <w:t>3</w:t>
            </w:r>
          </w:p>
        </w:tc>
        <w:tc>
          <w:tcPr>
            <w:tcW w:w="1843" w:type="dxa"/>
            <w:vAlign w:val="center"/>
          </w:tcPr>
          <w:p w:rsidR="0042122F" w:rsidRPr="0042122F" w:rsidRDefault="0042122F" w:rsidP="0042122F">
            <w:pPr>
              <w:spacing w:line="340" w:lineRule="exact"/>
              <w:ind w:firstLineChars="0" w:firstLine="0"/>
              <w:jc w:val="center"/>
              <w:rPr>
                <w:rFonts w:ascii="Times New Roman" w:eastAsia="宋体" w:hAnsi="Times New Roman"/>
              </w:rPr>
            </w:pPr>
            <w:r w:rsidRPr="0042122F">
              <w:rPr>
                <w:rFonts w:ascii="Times New Roman" w:eastAsia="宋体" w:hAnsi="Times New Roman" w:hint="eastAsia"/>
              </w:rPr>
              <w:t>-</w:t>
            </w:r>
          </w:p>
        </w:tc>
        <w:tc>
          <w:tcPr>
            <w:tcW w:w="6095" w:type="dxa"/>
            <w:vAlign w:val="center"/>
          </w:tcPr>
          <w:p w:rsidR="0042122F" w:rsidRPr="0042122F" w:rsidRDefault="0042122F" w:rsidP="00977E34">
            <w:pPr>
              <w:spacing w:line="340" w:lineRule="exact"/>
              <w:ind w:firstLineChars="0" w:firstLine="0"/>
              <w:jc w:val="left"/>
              <w:rPr>
                <w:rFonts w:ascii="Times New Roman" w:eastAsia="宋体" w:hAnsi="Times New Roman"/>
              </w:rPr>
            </w:pPr>
            <w:r w:rsidRPr="0042122F">
              <w:rPr>
                <w:rFonts w:ascii="Times New Roman" w:eastAsia="宋体" w:hAnsi="Times New Roman" w:hint="eastAsia"/>
              </w:rPr>
              <w:t>参与资料收集、样品收集、部分的调研和试验验证。</w:t>
            </w:r>
          </w:p>
        </w:tc>
      </w:tr>
      <w:tr w:rsidR="0042122F" w:rsidRPr="0042122F" w:rsidTr="000B6C61">
        <w:trPr>
          <w:jc w:val="center"/>
        </w:trPr>
        <w:tc>
          <w:tcPr>
            <w:tcW w:w="690" w:type="dxa"/>
            <w:vAlign w:val="center"/>
          </w:tcPr>
          <w:p w:rsidR="0042122F" w:rsidRPr="0042122F" w:rsidRDefault="0042122F" w:rsidP="0042122F">
            <w:pPr>
              <w:spacing w:line="340" w:lineRule="exact"/>
              <w:ind w:firstLineChars="0" w:firstLine="0"/>
              <w:jc w:val="center"/>
              <w:rPr>
                <w:rFonts w:ascii="Times New Roman" w:eastAsia="宋体" w:hAnsi="Times New Roman"/>
              </w:rPr>
            </w:pPr>
            <w:r w:rsidRPr="0042122F">
              <w:rPr>
                <w:rFonts w:ascii="Times New Roman" w:eastAsia="宋体" w:hAnsi="Times New Roman" w:hint="eastAsia"/>
              </w:rPr>
              <w:t>4</w:t>
            </w:r>
          </w:p>
        </w:tc>
        <w:tc>
          <w:tcPr>
            <w:tcW w:w="1843" w:type="dxa"/>
            <w:vAlign w:val="center"/>
          </w:tcPr>
          <w:p w:rsidR="0042122F" w:rsidRPr="0042122F" w:rsidRDefault="0042122F" w:rsidP="0042122F">
            <w:pPr>
              <w:spacing w:line="340" w:lineRule="exact"/>
              <w:ind w:firstLineChars="0" w:firstLine="0"/>
              <w:jc w:val="center"/>
              <w:rPr>
                <w:rFonts w:ascii="Times New Roman" w:eastAsia="宋体" w:hAnsi="Times New Roman"/>
              </w:rPr>
            </w:pPr>
            <w:r w:rsidRPr="0042122F">
              <w:rPr>
                <w:rFonts w:ascii="Times New Roman" w:eastAsia="宋体" w:hAnsi="Times New Roman" w:hint="eastAsia"/>
              </w:rPr>
              <w:t>-</w:t>
            </w:r>
          </w:p>
        </w:tc>
        <w:tc>
          <w:tcPr>
            <w:tcW w:w="6095" w:type="dxa"/>
            <w:vAlign w:val="center"/>
          </w:tcPr>
          <w:p w:rsidR="0042122F" w:rsidRPr="0042122F" w:rsidRDefault="0042122F" w:rsidP="0042122F">
            <w:pPr>
              <w:spacing w:line="340" w:lineRule="exact"/>
              <w:ind w:firstLineChars="0" w:firstLine="0"/>
              <w:jc w:val="left"/>
              <w:rPr>
                <w:rFonts w:ascii="Times New Roman" w:eastAsia="宋体" w:hAnsi="Times New Roman"/>
              </w:rPr>
            </w:pPr>
            <w:r w:rsidRPr="0042122F">
              <w:rPr>
                <w:rFonts w:ascii="Times New Roman" w:eastAsia="宋体" w:hAnsi="Times New Roman" w:hint="eastAsia"/>
              </w:rPr>
              <w:t>参与调研、资料收集、样品收集、标准讨论、部分验证试验。</w:t>
            </w:r>
          </w:p>
        </w:tc>
      </w:tr>
    </w:tbl>
    <w:p w:rsidR="0042122F" w:rsidRPr="0042122F" w:rsidRDefault="0042122F" w:rsidP="0042122F">
      <w:pPr>
        <w:ind w:firstLineChars="0" w:firstLine="0"/>
        <w:rPr>
          <w:b/>
        </w:rPr>
      </w:pPr>
    </w:p>
    <w:p w:rsidR="00E2537C" w:rsidRPr="007B6D04" w:rsidRDefault="007B6D04" w:rsidP="007B6D04">
      <w:pPr>
        <w:ind w:firstLineChars="0" w:firstLine="0"/>
        <w:rPr>
          <w:b/>
        </w:rPr>
      </w:pPr>
      <w:r w:rsidRPr="007B6D04">
        <w:rPr>
          <w:rFonts w:hint="eastAsia"/>
          <w:b/>
        </w:rPr>
        <w:t>2</w:t>
      </w:r>
      <w:r w:rsidR="008C543E" w:rsidRPr="007B6D04">
        <w:rPr>
          <w:rFonts w:hint="eastAsia"/>
          <w:b/>
        </w:rPr>
        <w:t>、</w:t>
      </w:r>
      <w:r w:rsidR="00E2537C" w:rsidRPr="007B6D04">
        <w:rPr>
          <w:b/>
        </w:rPr>
        <w:t>标准编制原则和标准主要内容</w:t>
      </w:r>
    </w:p>
    <w:p w:rsidR="00E2537C" w:rsidRPr="007B6D04" w:rsidRDefault="007B6D04" w:rsidP="007B6D04">
      <w:pPr>
        <w:ind w:firstLine="482"/>
        <w:rPr>
          <w:b/>
        </w:rPr>
      </w:pPr>
      <w:r w:rsidRPr="007B6D04">
        <w:rPr>
          <w:rFonts w:hint="eastAsia"/>
          <w:b/>
        </w:rPr>
        <w:t>2.</w:t>
      </w:r>
      <w:r w:rsidR="00E2537C" w:rsidRPr="007B6D04">
        <w:rPr>
          <w:rFonts w:hint="eastAsia"/>
          <w:b/>
        </w:rPr>
        <w:t>1</w:t>
      </w:r>
      <w:r w:rsidR="008C543E" w:rsidRPr="007B6D04">
        <w:rPr>
          <w:rFonts w:hint="eastAsia"/>
          <w:b/>
        </w:rPr>
        <w:t>、</w:t>
      </w:r>
      <w:r w:rsidR="00DC3411" w:rsidRPr="007B6D04">
        <w:rPr>
          <w:b/>
        </w:rPr>
        <w:t>标准编制原则</w:t>
      </w:r>
    </w:p>
    <w:p w:rsidR="007B6D04" w:rsidRDefault="007B6D04" w:rsidP="007B6D04">
      <w:r>
        <w:rPr>
          <w:rFonts w:ascii="宋体" w:hAnsi="宋体" w:hint="eastAsia"/>
        </w:rPr>
        <w:t>（1）</w:t>
      </w:r>
      <w:r>
        <w:rPr>
          <w:rFonts w:hint="eastAsia"/>
        </w:rPr>
        <w:t>标准格式、结构和内容按GB/T 1.1-2020《标准化工作导则  第1部分 ：标准化文件的结构和起草规则》、GB/T 32161-2015《生态设计产品评价通则》规定进行编制。</w:t>
      </w:r>
    </w:p>
    <w:p w:rsidR="007B6D04" w:rsidRDefault="007B6D04" w:rsidP="007B6D04">
      <w:pPr>
        <w:ind w:firstLineChars="250" w:firstLine="600"/>
      </w:pPr>
      <w:r w:rsidRPr="007B6D04">
        <w:rPr>
          <w:rFonts w:ascii="宋体" w:hAnsi="宋体" w:hint="eastAsia"/>
        </w:rPr>
        <w:t>(2)依据相关的政策法规，如《生态文明体制改革总体方案》、《国务院关于积极发挥新消费引领作用、加快培育形成新供给新动力的指导意见》、《清洁生产促进法》等政策法规。</w:t>
      </w:r>
    </w:p>
    <w:p w:rsidR="007B6D04" w:rsidRDefault="007B6D04" w:rsidP="007B6D04">
      <w:pPr>
        <w:ind w:firstLineChars="196" w:firstLine="470"/>
      </w:pPr>
      <w:r>
        <w:rPr>
          <w:rFonts w:hint="eastAsia"/>
        </w:rPr>
        <w:t>（3）遵循“全生命周期理念”原则。围绕绿色产品的定义和内涵，从原材料获取、生产、使用、废弃、可循环利用等生命周期阶段出发，重点分析产品在不同阶段的资源能源消耗、生态环境影响及人体健康安全影响因素，选取典型可量化和可验证的指标构成绿色装饰壁材产品评价指标体系。</w:t>
      </w:r>
    </w:p>
    <w:p w:rsidR="007B6D04" w:rsidRDefault="007B6D04" w:rsidP="007B6D04">
      <w:pPr>
        <w:ind w:firstLineChars="196" w:firstLine="470"/>
      </w:pPr>
      <w:r>
        <w:rPr>
          <w:rFonts w:hint="eastAsia"/>
        </w:rPr>
        <w:t>（4）指标的设置遵循“代表性、适用性、兼容性”原则。指在国内行业实际生产和应用水平的基础上，兼顾科学先进性与可行性。</w:t>
      </w:r>
    </w:p>
    <w:p w:rsidR="007B6D04" w:rsidRDefault="007B6D04" w:rsidP="007B6D04">
      <w:pPr>
        <w:ind w:firstLineChars="196" w:firstLine="470"/>
      </w:pPr>
      <w:r>
        <w:rPr>
          <w:rFonts w:hint="eastAsia"/>
        </w:rPr>
        <w:t>（5）指标基准值确定上遵循“绿色高端引领”原则。根据GB/T 32161-2015</w:t>
      </w:r>
      <w:r>
        <w:rPr>
          <w:rFonts w:hint="eastAsia"/>
        </w:rPr>
        <w:lastRenderedPageBreak/>
        <w:t>《生态设计产品评价通则》及GB/T 33761-2017《绿色产品评价通则》的规定要求，通过制定硅藻泥、贝壳粉装饰壁材的绿色设计产品评价技术规范，使符合绿色产品评价要求的领先产品比例不超过同类可比产品的5%，在确定本标准评价指标基准值时，以当前国内20%的该类产品达到该基准值要求为取值原则，以体现绿色产品的优势，引导企业贯彻节地、节能、节材、节水和环境保护的理念，走绿色发展道路。</w:t>
      </w:r>
    </w:p>
    <w:p w:rsidR="00E2537C" w:rsidRPr="007B6D04" w:rsidRDefault="008C543E" w:rsidP="007B6D04">
      <w:pPr>
        <w:ind w:firstLine="562"/>
        <w:rPr>
          <w:b/>
          <w:sz w:val="28"/>
        </w:rPr>
      </w:pPr>
      <w:r w:rsidRPr="007B6D04">
        <w:rPr>
          <w:rFonts w:hint="eastAsia"/>
          <w:b/>
          <w:sz w:val="28"/>
        </w:rPr>
        <w:t>2</w:t>
      </w:r>
      <w:r w:rsidR="007B6D04" w:rsidRPr="007B6D04">
        <w:rPr>
          <w:rFonts w:hint="eastAsia"/>
          <w:b/>
          <w:sz w:val="28"/>
        </w:rPr>
        <w:t>.2</w:t>
      </w:r>
      <w:r w:rsidRPr="007B6D04">
        <w:rPr>
          <w:rFonts w:hint="eastAsia"/>
          <w:b/>
          <w:sz w:val="28"/>
        </w:rPr>
        <w:t>、</w:t>
      </w:r>
      <w:r w:rsidR="00E2537C" w:rsidRPr="007B6D04">
        <w:rPr>
          <w:b/>
          <w:sz w:val="28"/>
        </w:rPr>
        <w:t>标准主要内容</w:t>
      </w:r>
      <w:r w:rsidR="007B6D04" w:rsidRPr="007B6D04">
        <w:rPr>
          <w:rFonts w:hint="eastAsia"/>
          <w:b/>
          <w:sz w:val="28"/>
        </w:rPr>
        <w:t>说明</w:t>
      </w:r>
    </w:p>
    <w:p w:rsidR="007B6D04" w:rsidRDefault="007B6D04" w:rsidP="00BC79AE">
      <w:r>
        <w:rPr>
          <w:rFonts w:hint="eastAsia"/>
        </w:rPr>
        <w:t>2.</w:t>
      </w:r>
      <w:r w:rsidR="00E2537C" w:rsidRPr="00DC3411">
        <w:rPr>
          <w:rFonts w:hint="eastAsia"/>
        </w:rPr>
        <w:t>2.1、范围</w:t>
      </w:r>
    </w:p>
    <w:p w:rsidR="00E2537C" w:rsidRPr="00DC3411" w:rsidRDefault="007B6D04" w:rsidP="00BC79AE">
      <w:r>
        <w:rPr>
          <w:rFonts w:hint="eastAsia"/>
        </w:rPr>
        <w:t>规定了本标准的内容和适用范围。根据GB/T 32161-2017《生态设计产品评价通则》的编写要求，本标准规定了硅藻泥、贝壳粉装饰壁材绿色设计产品评价的评价要求、生命周期评价报告编制方法和评价方法。适用于硅藻泥、贝壳粉等无机干粉类装饰壁材的绿色设计产品评价</w:t>
      </w:r>
      <w:r w:rsidR="00CA3530">
        <w:rPr>
          <w:rFonts w:hint="eastAsia"/>
        </w:rPr>
        <w:t>。</w:t>
      </w:r>
    </w:p>
    <w:p w:rsidR="007B6D04" w:rsidRDefault="007B6D04" w:rsidP="00BC79AE">
      <w:r>
        <w:rPr>
          <w:rFonts w:hint="eastAsia"/>
        </w:rPr>
        <w:t>2.</w:t>
      </w:r>
      <w:r w:rsidR="00E2537C" w:rsidRPr="00DC3411">
        <w:rPr>
          <w:rFonts w:hint="eastAsia"/>
        </w:rPr>
        <w:t>2.2、</w:t>
      </w:r>
      <w:r>
        <w:rPr>
          <w:rFonts w:hint="eastAsia"/>
        </w:rPr>
        <w:t>规范性引用文件</w:t>
      </w:r>
    </w:p>
    <w:p w:rsidR="007B6D04" w:rsidRDefault="007B6D04" w:rsidP="00BC79AE">
      <w:r>
        <w:rPr>
          <w:rFonts w:hint="eastAsia"/>
        </w:rPr>
        <w:t>本章引用了本标准所规定的硅藻泥、贝壳粉装饰壁材生产以及绿色设计产品评价过程中所涉及到的全部技术标准及规范。根据GB／T1.1-2009《标准化工作导则 第l部分：标准的结构和编写规则》的规定，规范性引用文件一览表应由下列引导语引出：“下列文件对于本文件的应用是必不可少的。凡是注日期的引用文件，仅注日期的版本适用于本文件。凡是不注日期的引用文件，其最新版本（包括所有修改单）适用于本文件。”</w:t>
      </w:r>
    </w:p>
    <w:p w:rsidR="007B6D04" w:rsidRDefault="007B6D04" w:rsidP="007B6D04">
      <w:pPr>
        <w:ind w:firstLineChars="196" w:firstLine="470"/>
        <w:rPr>
          <w:rFonts w:ascii="宋体" w:hAnsi="宋体"/>
        </w:rPr>
      </w:pPr>
      <w:r>
        <w:rPr>
          <w:rFonts w:ascii="宋体" w:hAnsi="宋体"/>
        </w:rPr>
        <w:t>2.2.</w:t>
      </w:r>
      <w:r>
        <w:rPr>
          <w:rFonts w:ascii="宋体" w:hAnsi="宋体" w:hint="eastAsia"/>
        </w:rPr>
        <w:t>3术语和定义</w:t>
      </w:r>
    </w:p>
    <w:p w:rsidR="007B6D04" w:rsidRDefault="007B6D04" w:rsidP="007B6D04">
      <w:pPr>
        <w:ind w:firstLineChars="196" w:firstLine="470"/>
      </w:pPr>
      <w:r>
        <w:rPr>
          <w:rFonts w:hint="eastAsia"/>
        </w:rPr>
        <w:t>本章重点引用定义了“绿色设计”“生态设计”“绿色设计产品”“生态设计产品”“绿色产品”和“单位产品综合能耗”，其余涉及具体屋面瓦产品要用到的术语和定义则直接引用相应的产品标准。</w:t>
      </w:r>
    </w:p>
    <w:p w:rsidR="00E2537C" w:rsidRPr="00DC3411" w:rsidRDefault="007B6D04" w:rsidP="00BC79AE">
      <w:r>
        <w:rPr>
          <w:rFonts w:hint="eastAsia"/>
        </w:rPr>
        <w:t>2.2.4评价要求</w:t>
      </w:r>
    </w:p>
    <w:p w:rsidR="007B6D04" w:rsidRDefault="007B6D04" w:rsidP="007B6D04">
      <w:r>
        <w:rPr>
          <w:rFonts w:hint="eastAsia"/>
        </w:rPr>
        <w:t>本章根据GB/T 32161-2015《生态设计产品评价通则》的要求编写，评价要求分为基本要求、评价指标要求和指标计算方法。</w:t>
      </w:r>
    </w:p>
    <w:p w:rsidR="007B6D04" w:rsidRDefault="007B6D04" w:rsidP="007B6D04">
      <w:pPr>
        <w:rPr>
          <w:rFonts w:ascii="宋体" w:hAnsi="宋体"/>
        </w:rPr>
      </w:pPr>
      <w:r>
        <w:rPr>
          <w:rFonts w:ascii="宋体" w:hAnsi="宋体" w:hint="eastAsia"/>
        </w:rPr>
        <w:t>（1）基本要求</w:t>
      </w:r>
    </w:p>
    <w:p w:rsidR="007B6D04" w:rsidRDefault="007B6D04" w:rsidP="007B6D04">
      <w:r>
        <w:rPr>
          <w:rFonts w:hint="eastAsia"/>
        </w:rPr>
        <w:t>根据GB/T 32161-2015《生态设计产品评价通则》的要求，结合硅藻泥、贝壳粉产品的实际情况，从技术工艺、计量配备、噪声、包装、绿色供应链、管理</w:t>
      </w:r>
      <w:r>
        <w:rPr>
          <w:rFonts w:hint="eastAsia"/>
        </w:rPr>
        <w:lastRenderedPageBreak/>
        <w:t>体系、污染物排放和安全生产等方面进行编写适合装饰壁材生产企业通用基本要求，同时对产品质量基本要求也做了规定。</w:t>
      </w:r>
    </w:p>
    <w:p w:rsidR="007B6D04" w:rsidRDefault="007B6D04" w:rsidP="007B6D04">
      <w:r w:rsidRPr="00C034AC">
        <w:rPr>
          <w:rFonts w:hint="eastAsia"/>
        </w:rPr>
        <w:t>生产基本要求条款为相关企业必须满足的要求。按GB/T 19001、GB/T 24001和GB/T 28001等要求评价，并同时满足《绿色产品评价通则》中</w:t>
      </w:r>
      <w:r>
        <w:rPr>
          <w:rFonts w:hint="eastAsia"/>
        </w:rPr>
        <w:t>对</w:t>
      </w:r>
      <w:r w:rsidRPr="00C034AC">
        <w:rPr>
          <w:rFonts w:hint="eastAsia"/>
        </w:rPr>
        <w:t>企业</w:t>
      </w:r>
      <w:r>
        <w:rPr>
          <w:rFonts w:hint="eastAsia"/>
        </w:rPr>
        <w:t>的基本</w:t>
      </w:r>
      <w:r w:rsidRPr="00C034AC">
        <w:rPr>
          <w:rFonts w:hint="eastAsia"/>
        </w:rPr>
        <w:t>要求。</w:t>
      </w:r>
      <w:r>
        <w:rPr>
          <w:rFonts w:hint="eastAsia"/>
        </w:rPr>
        <w:t>装饰壁材行业属于建材行业，在其生产和使用过程中势必会大量使用化学物质，可能有危险化学品。故本标准在符合一些基本管理要求外，对安全标准化生产、废弃物处理、污染物排放、工作场所等进行了规范，如</w:t>
      </w:r>
      <w:r w:rsidRPr="00D40F80">
        <w:rPr>
          <w:rFonts w:hint="eastAsia"/>
        </w:rPr>
        <w:t>企业安全生产标准化水平应符合AQ/T 9006的要求，建设项目安全设施符合“三同时”制度</w:t>
      </w:r>
      <w:r>
        <w:rPr>
          <w:rFonts w:hint="eastAsia"/>
        </w:rPr>
        <w:t>；</w:t>
      </w:r>
      <w:r w:rsidRPr="00D40F80">
        <w:rPr>
          <w:rFonts w:hint="eastAsia"/>
        </w:rPr>
        <w:t>工作场所的环境（粉尘、噪音、空气中化学物质等）应符合</w:t>
      </w:r>
      <w:r w:rsidRPr="00D40F80">
        <w:t>GBZ</w:t>
      </w:r>
      <w:r w:rsidRPr="00D40F80">
        <w:rPr>
          <w:rFonts w:hint="eastAsia"/>
        </w:rPr>
        <w:t xml:space="preserve"> </w:t>
      </w:r>
      <w:r w:rsidRPr="00D40F80">
        <w:t>2.1</w:t>
      </w:r>
      <w:r w:rsidRPr="00D40F80">
        <w:rPr>
          <w:rFonts w:hint="eastAsia"/>
        </w:rPr>
        <w:t>和</w:t>
      </w:r>
      <w:r w:rsidRPr="00D40F80">
        <w:t>GBZ 2.2</w:t>
      </w:r>
      <w:r w:rsidRPr="00D40F80">
        <w:rPr>
          <w:rFonts w:hint="eastAsia"/>
        </w:rPr>
        <w:t>的有关规定，建设项目职业卫生符合“三同时”制度</w:t>
      </w:r>
      <w:r>
        <w:rPr>
          <w:rFonts w:hint="eastAsia"/>
        </w:rPr>
        <w:t>；</w:t>
      </w:r>
      <w:r w:rsidRPr="00D40F80">
        <w:t>污染物排放</w:t>
      </w:r>
      <w:r w:rsidRPr="00D40F80">
        <w:rPr>
          <w:rFonts w:hint="eastAsia"/>
        </w:rPr>
        <w:t>应</w:t>
      </w:r>
      <w:r w:rsidRPr="00D40F80">
        <w:t>达到国家</w:t>
      </w:r>
      <w:r w:rsidRPr="00D40F80">
        <w:rPr>
          <w:rFonts w:hint="eastAsia"/>
        </w:rPr>
        <w:t>或</w:t>
      </w:r>
      <w:r w:rsidRPr="00D40F80">
        <w:t>地方排放标准</w:t>
      </w:r>
      <w:r w:rsidRPr="00D40F80">
        <w:rPr>
          <w:rFonts w:hint="eastAsia"/>
        </w:rPr>
        <w:t>，并</w:t>
      </w:r>
      <w:r w:rsidRPr="00D40F80">
        <w:t>满足环境影响评价、环保“三同时”</w:t>
      </w:r>
      <w:r w:rsidRPr="00D40F80">
        <w:rPr>
          <w:rFonts w:hint="eastAsia"/>
        </w:rPr>
        <w:t>制度、总量控制和排污许可证管理要求</w:t>
      </w:r>
      <w:r>
        <w:rPr>
          <w:rFonts w:hint="eastAsia"/>
        </w:rPr>
        <w:t>；</w:t>
      </w:r>
      <w:r w:rsidRPr="00D40F80">
        <w:rPr>
          <w:rFonts w:hint="eastAsia"/>
        </w:rPr>
        <w:t>一般固体废弃物的收集、贮存、处置应符合</w:t>
      </w:r>
      <w:r w:rsidRPr="00D40F80">
        <w:t>GB 18599</w:t>
      </w:r>
      <w:r w:rsidRPr="00D40F80">
        <w:rPr>
          <w:rFonts w:hint="eastAsia"/>
        </w:rPr>
        <w:t>的相关规定</w:t>
      </w:r>
      <w:r>
        <w:rPr>
          <w:rFonts w:hint="eastAsia"/>
        </w:rPr>
        <w:t>；</w:t>
      </w:r>
      <w:r w:rsidRPr="00D40F80">
        <w:rPr>
          <w:rFonts w:hint="eastAsia"/>
        </w:rPr>
        <w:t>危险废物的贮存严格按照GB 18597的相关规定执行，后续应交持有危险废物经营许可证的单位处置</w:t>
      </w:r>
      <w:r>
        <w:rPr>
          <w:rFonts w:hint="eastAsia"/>
        </w:rPr>
        <w:t>；</w:t>
      </w:r>
      <w:r w:rsidRPr="00D40F80">
        <w:rPr>
          <w:rFonts w:hint="eastAsia"/>
        </w:rPr>
        <w:t>企业应按照《危险化学品安全管理条例》建立并运行危险化学品安全管理制度</w:t>
      </w:r>
      <w:r>
        <w:rPr>
          <w:rFonts w:hint="eastAsia"/>
        </w:rPr>
        <w:t>；</w:t>
      </w:r>
      <w:r w:rsidRPr="00D40F80">
        <w:rPr>
          <w:rFonts w:hint="eastAsia"/>
        </w:rPr>
        <w:t>企业应持续关注，并符合国家、地区涉及涂料涂装的污染物排放、清洁生产等要求</w:t>
      </w:r>
      <w:r>
        <w:rPr>
          <w:rFonts w:hint="eastAsia"/>
        </w:rPr>
        <w:t>。</w:t>
      </w:r>
    </w:p>
    <w:p w:rsidR="00193D59" w:rsidRPr="00155EED" w:rsidRDefault="00193D59" w:rsidP="00193D59">
      <w:r w:rsidRPr="00155EED">
        <w:rPr>
          <w:rFonts w:hint="eastAsia"/>
        </w:rPr>
        <w:t>本标准结合《斯德哥尔摩公约》、《REACH法规》等国际和国外的要求，对一些的众所周知的有害物质进行禁用，如：放射性物质、石棉、APEO、三取代有机锡、溴系阻燃剂、短链氯化石蜡、可裂解并释放出某些有害芳香胺的禁用偶氮染料等。</w:t>
      </w:r>
    </w:p>
    <w:p w:rsidR="00193D59" w:rsidRDefault="00193D59" w:rsidP="007B6D04">
      <w:r w:rsidRPr="00155EED">
        <w:rPr>
          <w:rFonts w:hint="eastAsia"/>
        </w:rPr>
        <w:t>鉴于有毒化学品的不断推出或被认识，本标准要求生产企业应持续关注国家、地区和行业明令禁用的有害物质，并不得有意添加。 产品中不得有意添加致癌性、生殖细胞致突变性和生殖毒性中类别1的有害物质。 产品中不得有意添加在在体内验证试验中确认具有内分泌干扰的有害物质。</w:t>
      </w:r>
    </w:p>
    <w:p w:rsidR="007B6D04" w:rsidRPr="0070673F" w:rsidRDefault="007B6D04" w:rsidP="007B6D04">
      <w:r w:rsidRPr="0070673F">
        <w:rPr>
          <w:rFonts w:hint="eastAsia"/>
        </w:rPr>
        <w:t>生产企业应持续关注国家、地区和行业命令禁用的有害物质，并不得有意添加。产品中不得有意添加致癌性、生殖细胞致突变性和生殖毒性中类别1的有害物质；产品中不得有意添加在体内验证试验中确认具有内分泌干扰的有害物质。</w:t>
      </w:r>
    </w:p>
    <w:p w:rsidR="007B6D04" w:rsidRPr="007D5F15" w:rsidRDefault="007B6D04" w:rsidP="007B6D04">
      <w:pPr>
        <w:rPr>
          <w:rFonts w:ascii="宋体" w:hAnsi="宋体"/>
          <w:color w:val="FF0000"/>
        </w:rPr>
      </w:pPr>
      <w:r w:rsidRPr="007D5F15">
        <w:rPr>
          <w:rFonts w:ascii="宋体" w:hAnsi="宋体" w:hint="eastAsia"/>
          <w:color w:val="FF0000"/>
        </w:rPr>
        <w:t>（2）评价指标要求</w:t>
      </w:r>
    </w:p>
    <w:p w:rsidR="0009563F" w:rsidRPr="00DC3411" w:rsidRDefault="00CA3530" w:rsidP="00BC79AE">
      <w:r>
        <w:rPr>
          <w:rFonts w:hint="eastAsia"/>
        </w:rPr>
        <w:t>设置的</w:t>
      </w:r>
      <w:r w:rsidR="0009563F" w:rsidRPr="00DC3411">
        <w:rPr>
          <w:rFonts w:hint="eastAsia"/>
        </w:rPr>
        <w:t>基本原则，本标准给出了（1）选取消费者关注度高、生态环境影响</w:t>
      </w:r>
      <w:r w:rsidR="0009563F" w:rsidRPr="00DC3411">
        <w:rPr>
          <w:rFonts w:hint="eastAsia"/>
        </w:rPr>
        <w:lastRenderedPageBreak/>
        <w:t>大的</w:t>
      </w:r>
      <w:r w:rsidR="00AB3FB0">
        <w:rPr>
          <w:rFonts w:hint="eastAsia"/>
        </w:rPr>
        <w:t>性能</w:t>
      </w:r>
      <w:r w:rsidR="0009563F" w:rsidRPr="00DC3411">
        <w:rPr>
          <w:rFonts w:hint="eastAsia"/>
        </w:rPr>
        <w:t>作为绿色产品评价</w:t>
      </w:r>
      <w:r w:rsidR="00AB3FB0">
        <w:rPr>
          <w:rFonts w:hint="eastAsia"/>
        </w:rPr>
        <w:t>指标</w:t>
      </w:r>
      <w:r w:rsidR="0009563F" w:rsidRPr="00DC3411">
        <w:rPr>
          <w:rFonts w:hint="eastAsia"/>
        </w:rPr>
        <w:t>；（2）指标选取的生命周期原则，即从原材料获取、产品生产、使用、废弃后处理处置等生命周期阶段出发，系统分析各阶段的资源能源消耗、生态环境影响及人体健康安全影响因素，选取能够表征产品绿色特性的指标构成绿色</w:t>
      </w:r>
      <w:r w:rsidR="00673AFA">
        <w:rPr>
          <w:rFonts w:hint="eastAsia"/>
        </w:rPr>
        <w:t>设计产品</w:t>
      </w:r>
      <w:r w:rsidR="0009563F" w:rsidRPr="00DC3411">
        <w:rPr>
          <w:rFonts w:hint="eastAsia"/>
        </w:rPr>
        <w:t>评价指标体系；（3）绿色与质量的融合性原则，即产品绿色性能的提升不应牺牲产品的质量性能，高质量是绿色产品的前提，绿色性能和质量性能共同作为绿色产品的评价基础；（4）产品和企业的双绿色原则，即绿色企业是绿色产品的基础和保障，绿色产品的评价不应仅关注产品本身的绿色化，也应兼顾产品生产企业的绿色化，产品和企业的双绿色共同构成绿色产品的评价边界。</w:t>
      </w:r>
      <w:r w:rsidR="00025624">
        <w:rPr>
          <w:rFonts w:hint="eastAsia"/>
        </w:rPr>
        <w:t>(5)生命周期评价报告及其编制方法。</w:t>
      </w:r>
    </w:p>
    <w:p w:rsidR="00193D59" w:rsidRDefault="006D6B7B" w:rsidP="00193D59">
      <w:r>
        <w:rPr>
          <w:rFonts w:ascii="宋体" w:eastAsia="宋体" w:hAnsi="宋体" w:hint="eastAsia"/>
        </w:rPr>
        <w:t>本条根据GB/T 32161-2015《生态设计产品评价通则》的要求，</w:t>
      </w:r>
      <w:r w:rsidR="00193D59" w:rsidRPr="00DC3411">
        <w:rPr>
          <w:rFonts w:hint="eastAsia"/>
        </w:rPr>
        <w:t>本</w:t>
      </w:r>
      <w:r w:rsidR="00193D59">
        <w:rPr>
          <w:rFonts w:hint="eastAsia"/>
        </w:rPr>
        <w:t>标准</w:t>
      </w:r>
      <w:r w:rsidR="00193D59" w:rsidRPr="00DC3411">
        <w:rPr>
          <w:rFonts w:hint="eastAsia"/>
        </w:rPr>
        <w:t>评价指标体系</w:t>
      </w:r>
      <w:r w:rsidR="00193D59">
        <w:rPr>
          <w:rFonts w:hint="eastAsia"/>
        </w:rPr>
        <w:t>要求</w:t>
      </w:r>
      <w:r w:rsidR="00193D59" w:rsidRPr="00DC3411">
        <w:rPr>
          <w:rFonts w:hint="eastAsia"/>
        </w:rPr>
        <w:t>包括一级指标和二级指标组成，一级指标包括资源属性指标、能源属性指标、环境属性指标、</w:t>
      </w:r>
      <w:r w:rsidR="00193D59">
        <w:rPr>
          <w:rFonts w:hint="eastAsia"/>
        </w:rPr>
        <w:t>品质</w:t>
      </w:r>
      <w:r w:rsidR="00193D59" w:rsidRPr="00DC3411">
        <w:rPr>
          <w:rFonts w:hint="eastAsia"/>
        </w:rPr>
        <w:t>属性指标。</w:t>
      </w:r>
    </w:p>
    <w:p w:rsidR="00D86709" w:rsidRDefault="006D6B7B" w:rsidP="00BC79AE">
      <w:r>
        <w:rPr>
          <w:rFonts w:ascii="宋体" w:eastAsia="宋体" w:hAnsi="宋体" w:hint="eastAsia"/>
        </w:rPr>
        <w:t>选择适合具体</w:t>
      </w:r>
      <w:r>
        <w:rPr>
          <w:rFonts w:ascii="宋体" w:hAnsi="宋体" w:hint="eastAsia"/>
        </w:rPr>
        <w:t>硅藻泥、贝壳粉装饰壁材</w:t>
      </w:r>
      <w:r>
        <w:rPr>
          <w:rFonts w:ascii="宋体" w:eastAsia="宋体" w:hAnsi="宋体" w:hint="eastAsia"/>
        </w:rPr>
        <w:t>产品及其生产特点的指标，包括</w:t>
      </w:r>
      <w:r>
        <w:rPr>
          <w:rFonts w:ascii="宋体" w:hAnsi="宋体" w:hint="eastAsia"/>
        </w:rPr>
        <w:t>原材料消耗</w:t>
      </w:r>
      <w:r>
        <w:rPr>
          <w:rFonts w:ascii="宋体" w:eastAsia="宋体" w:hAnsi="宋体" w:hint="eastAsia"/>
        </w:rPr>
        <w:t>、</w:t>
      </w:r>
      <w:r>
        <w:rPr>
          <w:rFonts w:ascii="宋体" w:hAnsi="宋体" w:hint="eastAsia"/>
        </w:rPr>
        <w:t>贝壳粉消耗、包装材质、</w:t>
      </w:r>
      <w:r>
        <w:rPr>
          <w:rFonts w:ascii="宋体" w:eastAsia="宋体" w:hAnsi="宋体" w:hint="eastAsia"/>
        </w:rPr>
        <w:t>单位产品综合能耗、</w:t>
      </w:r>
      <w:r>
        <w:rPr>
          <w:rFonts w:ascii="宋体" w:hAnsi="宋体" w:hint="eastAsia"/>
        </w:rPr>
        <w:t>废气中</w:t>
      </w:r>
      <w:r>
        <w:rPr>
          <w:rFonts w:ascii="宋体" w:eastAsia="宋体" w:hAnsi="宋体" w:hint="eastAsia"/>
        </w:rPr>
        <w:t>颗粒物</w:t>
      </w:r>
      <w:r>
        <w:rPr>
          <w:rFonts w:ascii="宋体" w:hAnsi="宋体" w:hint="eastAsia"/>
        </w:rPr>
        <w:t>含量</w:t>
      </w:r>
      <w:r>
        <w:rPr>
          <w:rFonts w:ascii="宋体" w:eastAsia="宋体" w:hAnsi="宋体" w:hint="eastAsia"/>
        </w:rPr>
        <w:t>、</w:t>
      </w:r>
      <w:r>
        <w:rPr>
          <w:rFonts w:ascii="宋体" w:hAnsi="宋体" w:hint="eastAsia"/>
        </w:rPr>
        <w:t>厂界环境噪声、</w:t>
      </w:r>
      <w:r>
        <w:rPr>
          <w:rFonts w:ascii="宋体" w:eastAsia="宋体" w:hAnsi="宋体" w:hint="eastAsia"/>
        </w:rPr>
        <w:t>挥发性气体（苯类和有机挥发物总含量）、</w:t>
      </w:r>
      <w:r>
        <w:rPr>
          <w:rFonts w:ascii="宋体" w:hAnsi="宋体" w:hint="eastAsia"/>
        </w:rPr>
        <w:t>甲醛含量、甲醛释放量、苯、甲苯、乙苯和二甲苯含量总和、重金属元素含量、放射性比活度、生物杀伤剂含量</w:t>
      </w:r>
      <w:r>
        <w:rPr>
          <w:rFonts w:ascii="宋体" w:eastAsia="宋体" w:hAnsi="宋体" w:hint="eastAsia"/>
        </w:rPr>
        <w:t>等。</w:t>
      </w:r>
      <w:r w:rsidR="00CA3530">
        <w:rPr>
          <w:rFonts w:hint="eastAsia"/>
        </w:rPr>
        <w:t>本标准</w:t>
      </w:r>
      <w:r w:rsidR="0009563F" w:rsidRPr="00DC3411">
        <w:rPr>
          <w:rFonts w:hint="eastAsia"/>
        </w:rPr>
        <w:t>明确了采用指标符合性评价的方法。并要求产品同时符合产品绿色指标要求和企业绿色指标要求，</w:t>
      </w:r>
      <w:r w:rsidR="00025624">
        <w:rPr>
          <w:rFonts w:hint="eastAsia"/>
        </w:rPr>
        <w:t>提供生命周期评价报告，</w:t>
      </w:r>
      <w:r w:rsidR="0009563F" w:rsidRPr="00DC3411">
        <w:rPr>
          <w:rFonts w:hint="eastAsia"/>
        </w:rPr>
        <w:t>判定为绿色</w:t>
      </w:r>
      <w:r w:rsidR="00025624">
        <w:rPr>
          <w:rFonts w:hint="eastAsia"/>
        </w:rPr>
        <w:t>设计</w:t>
      </w:r>
      <w:r w:rsidR="0009563F" w:rsidRPr="00DC3411">
        <w:rPr>
          <w:rFonts w:hint="eastAsia"/>
        </w:rPr>
        <w:t>产品。</w:t>
      </w:r>
    </w:p>
    <w:p w:rsidR="00C034AC" w:rsidRDefault="00193D59" w:rsidP="00BC79AE">
      <w:r>
        <w:rPr>
          <w:rFonts w:hint="eastAsia"/>
        </w:rPr>
        <w:t>1)</w:t>
      </w:r>
      <w:r w:rsidR="00C034AC">
        <w:rPr>
          <w:rFonts w:hint="eastAsia"/>
        </w:rPr>
        <w:t>资源和能源属性</w:t>
      </w:r>
    </w:p>
    <w:p w:rsidR="00373027" w:rsidRPr="00023EC4" w:rsidRDefault="003134BA" w:rsidP="00BC79AE">
      <w:r>
        <w:rPr>
          <w:rFonts w:hint="eastAsia"/>
        </w:rPr>
        <w:t>由于</w:t>
      </w:r>
      <w:r w:rsidR="0049598D">
        <w:rPr>
          <w:rFonts w:hint="eastAsia"/>
        </w:rPr>
        <w:t>贝壳粉材料属于海洋循环经济范畴内的废弃贝壳再利用的材料，为了提倡循环经济，废弃资源再利用</w:t>
      </w:r>
      <w:r>
        <w:rPr>
          <w:rFonts w:hint="eastAsia"/>
        </w:rPr>
        <w:t>，结合</w:t>
      </w:r>
      <w:r w:rsidR="0049598D">
        <w:rPr>
          <w:rFonts w:hint="eastAsia"/>
        </w:rPr>
        <w:t>我国的贝壳粉装饰壁材实际生产能力水平，本标准暂时参考《内墙用贝壳粉装饰壁材》标准中对贝壳粉含量的要求，鼓励企业在生产制造过程中提高贝壳粉材料在产品中的占比。</w:t>
      </w:r>
      <w:r>
        <w:rPr>
          <w:rFonts w:hint="eastAsia"/>
        </w:rPr>
        <w:t>申报产品的</w:t>
      </w:r>
      <w:r w:rsidR="0049598D">
        <w:rPr>
          <w:rFonts w:hint="eastAsia"/>
        </w:rPr>
        <w:t>贝壳粉</w:t>
      </w:r>
      <w:r>
        <w:rPr>
          <w:rFonts w:hint="eastAsia"/>
        </w:rPr>
        <w:t>含量</w:t>
      </w:r>
      <w:r w:rsidR="0049598D">
        <w:rPr>
          <w:rFonts w:hint="eastAsia"/>
        </w:rPr>
        <w:t>不低于30%，采用</w:t>
      </w:r>
      <w:r>
        <w:rPr>
          <w:rFonts w:hint="eastAsia"/>
        </w:rPr>
        <w:t>备案制进行规范。</w:t>
      </w:r>
    </w:p>
    <w:p w:rsidR="0094748A" w:rsidRPr="00F51F7E" w:rsidRDefault="00193D59" w:rsidP="00BC79AE">
      <w:r>
        <w:rPr>
          <w:rFonts w:hint="eastAsia"/>
        </w:rPr>
        <w:t>2)</w:t>
      </w:r>
      <w:r w:rsidR="0094748A" w:rsidRPr="00F51F7E">
        <w:rPr>
          <w:rFonts w:hint="eastAsia"/>
        </w:rPr>
        <w:t xml:space="preserve"> 环境属性</w:t>
      </w:r>
    </w:p>
    <w:p w:rsidR="00193D59" w:rsidRDefault="00193D59" w:rsidP="00193D59">
      <w:pPr>
        <w:pStyle w:val="aa"/>
        <w:numPr>
          <w:ilvl w:val="0"/>
          <w:numId w:val="5"/>
        </w:numPr>
        <w:ind w:firstLineChars="0"/>
      </w:pPr>
      <w:r>
        <w:rPr>
          <w:rFonts w:hint="eastAsia"/>
        </w:rPr>
        <w:t>废气中的颗粒物含量</w:t>
      </w:r>
    </w:p>
    <w:p w:rsidR="00010F54" w:rsidRDefault="00010F54" w:rsidP="00BC79AE">
      <w:r>
        <w:rPr>
          <w:rFonts w:hint="eastAsia"/>
        </w:rPr>
        <w:t>山东省</w:t>
      </w:r>
      <w:r w:rsidR="00F50216">
        <w:rPr>
          <w:rFonts w:hint="eastAsia"/>
        </w:rPr>
        <w:t>2018年《建材工业大气污染物排放标准》（DB37/2373-2018）中，建材工业相关颗粒物浓度限值要求20mg/m³。</w:t>
      </w:r>
    </w:p>
    <w:p w:rsidR="00F50216" w:rsidRPr="000B4551" w:rsidRDefault="00F50216" w:rsidP="00BC79AE">
      <w:pPr>
        <w:rPr>
          <w:color w:val="FF0000"/>
        </w:rPr>
      </w:pPr>
      <w:r>
        <w:rPr>
          <w:rFonts w:hint="eastAsia"/>
        </w:rPr>
        <w:lastRenderedPageBreak/>
        <w:t>无机干粉类装饰壁材产品在产品生产工艺过程中，大部分使用无机矿物材料，苯、二甲苯、甲苯等挥发性有机会排放极少。</w:t>
      </w:r>
      <w:r w:rsidR="00895FB6" w:rsidRPr="000B4551">
        <w:rPr>
          <w:rFonts w:hint="eastAsia"/>
          <w:color w:val="FF0000"/>
        </w:rPr>
        <w:t>本标准采用最严苛的挥发性有机物限值，同时参考《绿色产品评价 涂料》中建筑无机粉体涂装材料中挥发性有机物指标要求</w:t>
      </w:r>
      <w:r w:rsidRPr="000B4551">
        <w:rPr>
          <w:rFonts w:hint="eastAsia"/>
          <w:color w:val="FF0000"/>
        </w:rPr>
        <w:t>。</w:t>
      </w:r>
    </w:p>
    <w:p w:rsidR="0094748A" w:rsidRPr="00025624" w:rsidRDefault="0094748A" w:rsidP="00BC79AE">
      <w:pPr>
        <w:rPr>
          <w:color w:val="FF0000"/>
        </w:rPr>
      </w:pPr>
      <w:r w:rsidRPr="00025624">
        <w:rPr>
          <w:rFonts w:hint="eastAsia"/>
          <w:color w:val="FF0000"/>
        </w:rPr>
        <w:t>为控制水污染物排放，改善水环境质量，污水处理厂排放要求逐步加严势在必行；《水污染防治行动计划》（国发〔</w:t>
      </w:r>
      <w:r w:rsidRPr="00025624">
        <w:rPr>
          <w:color w:val="FF0000"/>
        </w:rPr>
        <w:t>2015</w:t>
      </w:r>
      <w:r w:rsidRPr="00025624">
        <w:rPr>
          <w:rFonts w:hint="eastAsia"/>
          <w:color w:val="FF0000"/>
        </w:rPr>
        <w:t>〕</w:t>
      </w:r>
      <w:r w:rsidRPr="00025624">
        <w:rPr>
          <w:color w:val="FF0000"/>
        </w:rPr>
        <w:t xml:space="preserve">17 </w:t>
      </w:r>
      <w:r w:rsidRPr="00025624">
        <w:rPr>
          <w:rFonts w:hint="eastAsia"/>
          <w:color w:val="FF0000"/>
        </w:rPr>
        <w:t>号）》中要求敏感区域内的污水处理厂在</w:t>
      </w:r>
      <w:r w:rsidRPr="00025624">
        <w:rPr>
          <w:color w:val="FF0000"/>
        </w:rPr>
        <w:t xml:space="preserve">2017 </w:t>
      </w:r>
      <w:r w:rsidRPr="00025624">
        <w:rPr>
          <w:rFonts w:hint="eastAsia"/>
          <w:color w:val="FF0000"/>
        </w:rPr>
        <w:t>年底全面达到一级</w:t>
      </w:r>
      <w:r w:rsidRPr="00025624">
        <w:rPr>
          <w:color w:val="FF0000"/>
        </w:rPr>
        <w:t xml:space="preserve">A </w:t>
      </w:r>
      <w:r w:rsidRPr="00025624">
        <w:rPr>
          <w:rFonts w:hint="eastAsia"/>
          <w:color w:val="FF0000"/>
        </w:rPr>
        <w:t>标准。敏感区域外的现有污水处理厂，经 2 年过渡期后，从经济技术可行性角度考虑，若接收并处理工业废水比例＜80%执行一级B 标准。</w:t>
      </w:r>
    </w:p>
    <w:p w:rsidR="00917CF6" w:rsidRPr="00025624" w:rsidRDefault="0094748A" w:rsidP="00BC79AE">
      <w:pPr>
        <w:rPr>
          <w:color w:val="FF0000"/>
        </w:rPr>
      </w:pPr>
      <w:r w:rsidRPr="00025624">
        <w:rPr>
          <w:rFonts w:hint="eastAsia"/>
          <w:color w:val="FF0000"/>
        </w:rPr>
        <w:t>进一步深化水环境综合治理工作，大力保护我们的生态环境，全面完成减排工作目标任务，目前全国各地纷纷要求化工企业进入园区，污水进行纳管集中处理后排放，一般的园区污水处理厂均执行《污水综合排放标准》三级标准</w:t>
      </w:r>
      <w:r w:rsidR="00917CF6" w:rsidRPr="00025624">
        <w:rPr>
          <w:rFonts w:hint="eastAsia"/>
          <w:color w:val="FF0000"/>
        </w:rPr>
        <w:t>化。</w:t>
      </w:r>
    </w:p>
    <w:p w:rsidR="0094748A" w:rsidRPr="00025624" w:rsidRDefault="00917CF6" w:rsidP="00BC79AE">
      <w:pPr>
        <w:rPr>
          <w:color w:val="FF0000"/>
        </w:rPr>
      </w:pPr>
      <w:r w:rsidRPr="00025624">
        <w:rPr>
          <w:rFonts w:hint="eastAsia"/>
          <w:color w:val="FF0000"/>
        </w:rPr>
        <w:t>化学需氧量是衡量水环境质量的重要指标。鉴于</w:t>
      </w:r>
      <w:r w:rsidR="00F51F7E" w:rsidRPr="00025624">
        <w:rPr>
          <w:rFonts w:hint="eastAsia"/>
          <w:color w:val="FF0000"/>
        </w:rPr>
        <w:t>装饰壁材生产工艺几乎不产生废水排放以及</w:t>
      </w:r>
      <w:r w:rsidRPr="00025624">
        <w:rPr>
          <w:rFonts w:hint="eastAsia"/>
          <w:color w:val="FF0000"/>
        </w:rPr>
        <w:t>水污染情况，</w:t>
      </w:r>
      <w:r w:rsidR="00F51F7E" w:rsidRPr="00025624">
        <w:rPr>
          <w:rFonts w:hint="eastAsia"/>
          <w:color w:val="FF0000"/>
        </w:rPr>
        <w:t>水污染情况按国家和地方的法规政策执行，不做指标限定。</w:t>
      </w:r>
    </w:p>
    <w:p w:rsidR="00917CF6" w:rsidRPr="00025624" w:rsidRDefault="00F50216" w:rsidP="00BC79AE">
      <w:pPr>
        <w:rPr>
          <w:color w:val="FF0000"/>
        </w:rPr>
      </w:pPr>
      <w:r w:rsidRPr="00025624">
        <w:rPr>
          <w:rFonts w:hint="eastAsia"/>
          <w:color w:val="FF0000"/>
        </w:rPr>
        <w:t>无机干粉类装饰壁材产品在产品生产工艺不含水，废水排放只为生活用水和清洁工厂用水，因此废水排放不做定量指标要求，要求符合地方排放法规。</w:t>
      </w:r>
    </w:p>
    <w:p w:rsidR="003134BA" w:rsidRDefault="003134BA" w:rsidP="00193D59">
      <w:pPr>
        <w:pStyle w:val="aa"/>
        <w:numPr>
          <w:ilvl w:val="0"/>
          <w:numId w:val="5"/>
        </w:numPr>
        <w:ind w:firstLineChars="0"/>
      </w:pPr>
      <w:r>
        <w:rPr>
          <w:rFonts w:hint="eastAsia"/>
        </w:rPr>
        <w:t>厂界噪音和</w:t>
      </w:r>
      <w:r w:rsidR="00193D59">
        <w:rPr>
          <w:rFonts w:hint="eastAsia"/>
        </w:rPr>
        <w:t>颗粒物含量</w:t>
      </w:r>
    </w:p>
    <w:p w:rsidR="003134BA" w:rsidRDefault="00B874FD" w:rsidP="00BC79AE">
      <w:r>
        <w:rPr>
          <w:rFonts w:hint="eastAsia"/>
        </w:rPr>
        <w:t>在生产制造的环境，会大量使用粉末状原材料，为了保护制造工人的职业健康要求和安全要求，指标依据我国职业健康标准的要求。</w:t>
      </w:r>
    </w:p>
    <w:p w:rsidR="00B874FD" w:rsidRDefault="00F50216" w:rsidP="00BC79AE">
      <w:r>
        <w:rPr>
          <w:rFonts w:hint="eastAsia"/>
        </w:rPr>
        <w:t>厂界噪音是一个化工</w:t>
      </w:r>
      <w:r w:rsidR="006D5BAB">
        <w:rPr>
          <w:rFonts w:hint="eastAsia"/>
        </w:rPr>
        <w:t>企业生存和发展的必然要求，随着生活区的不断扩大和渗入，</w:t>
      </w:r>
      <w:r w:rsidR="00B874FD">
        <w:rPr>
          <w:rFonts w:hint="eastAsia"/>
        </w:rPr>
        <w:t>制造企业势必会受到厂界附近的居</w:t>
      </w:r>
      <w:r w:rsidR="006D5BAB">
        <w:rPr>
          <w:rFonts w:hint="eastAsia"/>
        </w:rPr>
        <w:t>民和工作者的监督，同时，环保部门的监管也越来越加强，厂界噪音要求符合工业企业厂界外声环境功能区类别2级的要求，昼间排放限值为60，夜间排放限值为50</w:t>
      </w:r>
      <w:r w:rsidR="00B874FD">
        <w:rPr>
          <w:rFonts w:hint="eastAsia"/>
        </w:rPr>
        <w:t>。</w:t>
      </w:r>
    </w:p>
    <w:p w:rsidR="000371B8" w:rsidRPr="00193D59" w:rsidRDefault="000371B8" w:rsidP="00193D59">
      <w:pPr>
        <w:pStyle w:val="aa"/>
        <w:numPr>
          <w:ilvl w:val="0"/>
          <w:numId w:val="5"/>
        </w:numPr>
        <w:ind w:firstLineChars="0"/>
      </w:pPr>
      <w:r w:rsidRPr="00193D59">
        <w:rPr>
          <w:rFonts w:hint="eastAsia"/>
        </w:rPr>
        <w:t>挥发性有机化合物(VOC)含量</w:t>
      </w:r>
    </w:p>
    <w:p w:rsidR="000371B8" w:rsidRPr="00193D59" w:rsidRDefault="000371B8" w:rsidP="000371B8">
      <w:r w:rsidRPr="00193D59">
        <w:rPr>
          <w:rFonts w:hint="eastAsia"/>
        </w:rPr>
        <w:t>硅藻泥和贝壳粉装饰壁材是无机干粉类装饰壁材，除少数添加剂含有挥发性有机物，含量普遍低于其他涂料类装饰材料，因此本标准采用最严苛的挥发性有机物限值，同时参考《绿色产品评价 涂料》中建筑无机粉体涂装材料中挥发性有机物指标要求。</w:t>
      </w:r>
    </w:p>
    <w:p w:rsidR="002C78E7" w:rsidRDefault="000371B8" w:rsidP="00193D59">
      <w:proofErr w:type="spellStart"/>
      <w:r w:rsidRPr="00193D59">
        <w:rPr>
          <w:rFonts w:hint="eastAsia"/>
        </w:rPr>
        <w:lastRenderedPageBreak/>
        <w:t>VOCs</w:t>
      </w:r>
      <w:proofErr w:type="spellEnd"/>
      <w:r w:rsidRPr="00193D59">
        <w:rPr>
          <w:rFonts w:hint="eastAsia"/>
        </w:rPr>
        <w:t>的定义与所采用的测试方法密切相关，不同的测试条件可能得出不同的结果。最普通的共识认为</w:t>
      </w:r>
      <w:proofErr w:type="spellStart"/>
      <w:r w:rsidRPr="00193D59">
        <w:rPr>
          <w:rFonts w:hint="eastAsia"/>
        </w:rPr>
        <w:t>VOCs</w:t>
      </w:r>
      <w:proofErr w:type="spellEnd"/>
      <w:r w:rsidRPr="00193D59">
        <w:rPr>
          <w:rFonts w:hint="eastAsia"/>
        </w:rPr>
        <w:t>是指那些沸点等于或低于250℃的有机化合物。</w:t>
      </w:r>
    </w:p>
    <w:p w:rsidR="000371B8" w:rsidRPr="00193D59" w:rsidRDefault="000371B8" w:rsidP="00193D59">
      <w:r w:rsidRPr="00193D59">
        <w:t>有关</w:t>
      </w:r>
      <w:proofErr w:type="spellStart"/>
      <w:r w:rsidRPr="00193D59">
        <w:t>VOCs</w:t>
      </w:r>
      <w:proofErr w:type="spellEnd"/>
      <w:r w:rsidRPr="00193D59">
        <w:t>的测定方法主要有两种，一种是差值法，在一定时间内，在一定温度和条件下，测试试样的</w:t>
      </w:r>
      <w:proofErr w:type="spellStart"/>
      <w:r w:rsidRPr="00193D59">
        <w:t>VOCs</w:t>
      </w:r>
      <w:proofErr w:type="spellEnd"/>
      <w:r w:rsidRPr="00193D59">
        <w:t>含量</w:t>
      </w:r>
      <w:r w:rsidRPr="00193D59">
        <w:rPr>
          <w:rFonts w:hint="eastAsia"/>
        </w:rPr>
        <w:t>；</w:t>
      </w:r>
      <w:r w:rsidRPr="00193D59">
        <w:t>差值法主要适用于预期</w:t>
      </w:r>
      <w:r w:rsidRPr="00193D59">
        <w:rPr>
          <w:rFonts w:hint="eastAsia"/>
        </w:rPr>
        <w:t xml:space="preserve"> </w:t>
      </w:r>
      <w:proofErr w:type="spellStart"/>
      <w:r w:rsidRPr="00193D59">
        <w:t>VOCs</w:t>
      </w:r>
      <w:proofErr w:type="spellEnd"/>
      <w:r w:rsidRPr="00193D59">
        <w:rPr>
          <w:rFonts w:hint="eastAsia"/>
        </w:rPr>
        <w:t xml:space="preserve"> </w:t>
      </w:r>
      <w:r w:rsidRPr="00193D59">
        <w:t>含量较高的涂料，能够较准确的测定涂料产品的</w:t>
      </w:r>
      <w:r w:rsidRPr="00193D59">
        <w:rPr>
          <w:rFonts w:hint="eastAsia"/>
        </w:rPr>
        <w:t xml:space="preserve"> </w:t>
      </w:r>
      <w:proofErr w:type="spellStart"/>
      <w:r w:rsidRPr="00193D59">
        <w:t>VOCs</w:t>
      </w:r>
      <w:proofErr w:type="spellEnd"/>
      <w:r w:rsidRPr="00193D59">
        <w:rPr>
          <w:rFonts w:hint="eastAsia"/>
        </w:rPr>
        <w:t xml:space="preserve"> </w:t>
      </w:r>
      <w:r w:rsidRPr="00193D59">
        <w:t>含量</w:t>
      </w:r>
      <w:r w:rsidRPr="00193D59">
        <w:rPr>
          <w:rFonts w:hint="eastAsia"/>
        </w:rPr>
        <w:t>。</w:t>
      </w:r>
      <w:r w:rsidRPr="00193D59">
        <w:t>另外一种</w:t>
      </w:r>
      <w:r w:rsidRPr="00193D59">
        <w:rPr>
          <w:rFonts w:hint="eastAsia"/>
        </w:rPr>
        <w:t>测定</w:t>
      </w:r>
      <w:proofErr w:type="spellStart"/>
      <w:r w:rsidRPr="00193D59">
        <w:t>VOCs</w:t>
      </w:r>
      <w:proofErr w:type="spellEnd"/>
      <w:r w:rsidRPr="00193D59">
        <w:t>含量主要基于气相色谱法，通过测定其各个组分含量而进行加和</w:t>
      </w:r>
      <w:r w:rsidRPr="00193D59">
        <w:rPr>
          <w:rFonts w:hint="eastAsia"/>
        </w:rPr>
        <w:t>；</w:t>
      </w:r>
      <w:r w:rsidRPr="00193D59">
        <w:t>气相色谱法主要适用于预期</w:t>
      </w:r>
      <w:r w:rsidRPr="00193D59">
        <w:rPr>
          <w:rFonts w:hint="eastAsia"/>
        </w:rPr>
        <w:t xml:space="preserve"> </w:t>
      </w:r>
      <w:proofErr w:type="spellStart"/>
      <w:r w:rsidRPr="00193D59">
        <w:t>VOCs</w:t>
      </w:r>
      <w:proofErr w:type="spellEnd"/>
      <w:r w:rsidRPr="00193D59">
        <w:rPr>
          <w:rFonts w:hint="eastAsia"/>
        </w:rPr>
        <w:t xml:space="preserve"> </w:t>
      </w:r>
      <w:r w:rsidRPr="00193D59">
        <w:t>含量相对较低的涂料，在检测过程中需要先对</w:t>
      </w:r>
      <w:r w:rsidRPr="00193D59">
        <w:rPr>
          <w:rFonts w:hint="eastAsia"/>
        </w:rPr>
        <w:t xml:space="preserve"> </w:t>
      </w:r>
      <w:proofErr w:type="spellStart"/>
      <w:r w:rsidRPr="00193D59">
        <w:t>VOCs</w:t>
      </w:r>
      <w:proofErr w:type="spellEnd"/>
      <w:r w:rsidRPr="00193D59">
        <w:rPr>
          <w:rFonts w:hint="eastAsia"/>
        </w:rPr>
        <w:t xml:space="preserve"> </w:t>
      </w:r>
      <w:r w:rsidRPr="00193D59">
        <w:t>相关化合物进行定性后再进行定量，干扰因素少，对</w:t>
      </w:r>
      <w:r w:rsidRPr="00193D59">
        <w:rPr>
          <w:rFonts w:hint="eastAsia"/>
        </w:rPr>
        <w:t xml:space="preserve"> </w:t>
      </w:r>
      <w:proofErr w:type="spellStart"/>
      <w:r w:rsidRPr="00193D59">
        <w:t>VOCs</w:t>
      </w:r>
      <w:proofErr w:type="spellEnd"/>
      <w:r w:rsidRPr="00193D59">
        <w:rPr>
          <w:rFonts w:hint="eastAsia"/>
        </w:rPr>
        <w:t xml:space="preserve"> </w:t>
      </w:r>
      <w:r w:rsidRPr="00193D59">
        <w:t>物质的判定以及</w:t>
      </w:r>
      <w:r w:rsidRPr="00193D59">
        <w:rPr>
          <w:rFonts w:hint="eastAsia"/>
        </w:rPr>
        <w:t xml:space="preserve"> </w:t>
      </w:r>
      <w:proofErr w:type="spellStart"/>
      <w:r w:rsidRPr="00193D59">
        <w:t>VOCs</w:t>
      </w:r>
      <w:proofErr w:type="spellEnd"/>
      <w:r w:rsidRPr="00193D59">
        <w:rPr>
          <w:rFonts w:hint="eastAsia"/>
        </w:rPr>
        <w:t xml:space="preserve"> </w:t>
      </w:r>
      <w:r w:rsidRPr="00193D59">
        <w:t>含量的检测准确性高，我国目前建筑涂料中水性产品主要采用气相色谱法测定。</w:t>
      </w:r>
      <w:r w:rsidRPr="00193D59">
        <w:rPr>
          <w:rFonts w:hint="eastAsia"/>
        </w:rPr>
        <w:t>本标准结合产品特点和我国的实际情况，参考《绿色产品评价 涂料》中建筑无机粉体涂装材料2g/kg的限值。</w:t>
      </w:r>
    </w:p>
    <w:p w:rsidR="008A5A87" w:rsidRPr="008A5A87" w:rsidRDefault="00193D59" w:rsidP="002C78E7">
      <w:pPr>
        <w:ind w:firstLineChars="177" w:firstLine="425"/>
      </w:pPr>
      <w:r w:rsidRPr="008A5A87">
        <w:rPr>
          <w:rFonts w:hint="eastAsia"/>
        </w:rPr>
        <w:t>(3）</w:t>
      </w:r>
      <w:r w:rsidR="00C034AC" w:rsidRPr="008A5A87">
        <w:rPr>
          <w:rFonts w:hint="eastAsia"/>
        </w:rPr>
        <w:t>品质属性</w:t>
      </w:r>
    </w:p>
    <w:p w:rsidR="000371B8" w:rsidRPr="008A4A56" w:rsidRDefault="000371B8" w:rsidP="002C78E7">
      <w:pPr>
        <w:pStyle w:val="20"/>
        <w:numPr>
          <w:ilvl w:val="0"/>
          <w:numId w:val="6"/>
        </w:numPr>
        <w:ind w:leftChars="0" w:left="0" w:firstLineChars="177" w:firstLine="425"/>
      </w:pPr>
      <w:r w:rsidRPr="008A4A56">
        <w:rPr>
          <w:rFonts w:hint="eastAsia"/>
        </w:rPr>
        <w:t>TVOC和甲醛释放量</w:t>
      </w:r>
    </w:p>
    <w:p w:rsidR="000371B8" w:rsidRPr="008A4A56" w:rsidRDefault="000371B8" w:rsidP="008A5A87">
      <w:r w:rsidRPr="008A4A56">
        <w:t>TVOC是三种影响室内空气品质污染中影响较为严重的一种。TVOC是指室温下饱和蒸气压超过了133．32pa的有机物，其沸点在50</w:t>
      </w:r>
      <w:r w:rsidRPr="008A4A56">
        <w:rPr>
          <w:rFonts w:hint="eastAsia"/>
        </w:rPr>
        <w:t>℃</w:t>
      </w:r>
      <w:r w:rsidRPr="008A4A56">
        <w:t>至250</w:t>
      </w:r>
      <w:r w:rsidRPr="008A4A56">
        <w:rPr>
          <w:rFonts w:hint="eastAsia"/>
        </w:rPr>
        <w:t>℃</w:t>
      </w:r>
      <w:r w:rsidRPr="008A4A56">
        <w:t>，在常温下可以蒸发的形式存在于空气中，它的毒性、刺激性、致癌性和特殊的气味性，会影响皮肤和黏膜，对人体产生急性损害。世界卫生组织（WHO）、美国国家科学院/国家研究理事会（NAS/NRC）等机构一直强调TVOC是一类重要的空气污染物。室内TVOC浓度通常在0.2mg/m3到2mg/m3之间，当室内VOC浓度在0.16mg/m3～0.3mg/m3时，对人体健康基本无害，但在装修中往往会超过这一指标，特别是在不当装修的情况下。防止TVOC的伤害，主要从源头抓起，杜绝非环保建材</w:t>
      </w:r>
      <w:r w:rsidRPr="008A4A56">
        <w:rPr>
          <w:rFonts w:hint="eastAsia"/>
        </w:rPr>
        <w:t>，如木质板、家具、涂料、粘合剂等。</w:t>
      </w:r>
    </w:p>
    <w:p w:rsidR="000371B8" w:rsidRPr="008A4A56" w:rsidRDefault="000371B8" w:rsidP="008A5A87">
      <w:r w:rsidRPr="008A4A56">
        <w:t>甲醛释放量，是现代装修房屋的一项重要指标。国际环保组织规定的绿色建材的标准是不高于8mg/100g，应尽量选择低于此标准的</w:t>
      </w:r>
      <w:r>
        <w:rPr>
          <w:rFonts w:hint="eastAsia"/>
        </w:rPr>
        <w:t>产品。本标准要求甲醛释放量为小于等于0.1mg/m</w:t>
      </w:r>
      <w:r w:rsidRPr="008A5A87">
        <w:rPr>
          <w:rFonts w:hint="eastAsia"/>
        </w:rPr>
        <w:t>3</w:t>
      </w:r>
      <w:r w:rsidRPr="008A4A56">
        <w:t>。</w:t>
      </w:r>
    </w:p>
    <w:tbl>
      <w:tblPr>
        <w:tblStyle w:val="ab"/>
        <w:tblW w:w="8301" w:type="dxa"/>
        <w:jc w:val="center"/>
        <w:tblLayout w:type="fixed"/>
        <w:tblLook w:val="04A0"/>
      </w:tblPr>
      <w:tblGrid>
        <w:gridCol w:w="780"/>
        <w:gridCol w:w="681"/>
        <w:gridCol w:w="709"/>
        <w:gridCol w:w="709"/>
        <w:gridCol w:w="709"/>
        <w:gridCol w:w="946"/>
        <w:gridCol w:w="755"/>
        <w:gridCol w:w="850"/>
        <w:gridCol w:w="1089"/>
        <w:gridCol w:w="1073"/>
      </w:tblGrid>
      <w:tr w:rsidR="000371B8" w:rsidRPr="00134822" w:rsidTr="005860C0">
        <w:trPr>
          <w:cantSplit/>
          <w:trHeight w:val="20"/>
          <w:jc w:val="center"/>
        </w:trPr>
        <w:tc>
          <w:tcPr>
            <w:tcW w:w="780" w:type="dxa"/>
            <w:vAlign w:val="center"/>
          </w:tcPr>
          <w:p w:rsidR="000371B8" w:rsidRPr="00134822" w:rsidRDefault="000371B8" w:rsidP="00092414">
            <w:pPr>
              <w:pStyle w:val="20"/>
              <w:ind w:leftChars="0" w:left="0" w:firstLineChars="0" w:firstLine="0"/>
              <w:jc w:val="center"/>
              <w:rPr>
                <w:sz w:val="18"/>
              </w:rPr>
            </w:pPr>
            <w:r w:rsidRPr="00134822">
              <w:rPr>
                <w:rFonts w:hint="eastAsia"/>
                <w:sz w:val="18"/>
              </w:rPr>
              <w:t>/</w:t>
            </w:r>
          </w:p>
        </w:tc>
        <w:tc>
          <w:tcPr>
            <w:tcW w:w="2808" w:type="dxa"/>
            <w:gridSpan w:val="4"/>
            <w:vAlign w:val="center"/>
          </w:tcPr>
          <w:p w:rsidR="000371B8" w:rsidRPr="00134822" w:rsidRDefault="000371B8" w:rsidP="00092414">
            <w:pPr>
              <w:pStyle w:val="20"/>
              <w:ind w:leftChars="0" w:left="4" w:hangingChars="2" w:hanging="4"/>
              <w:jc w:val="center"/>
              <w:rPr>
                <w:sz w:val="18"/>
              </w:rPr>
            </w:pPr>
            <w:r w:rsidRPr="00134822">
              <w:rPr>
                <w:rFonts w:hint="eastAsia"/>
                <w:sz w:val="18"/>
              </w:rPr>
              <w:t>法国A</w:t>
            </w:r>
            <w:r w:rsidRPr="00134822">
              <w:rPr>
                <w:rFonts w:hint="eastAsia"/>
                <w:sz w:val="18"/>
                <w:vertAlign w:val="superscript"/>
              </w:rPr>
              <w:t>+</w:t>
            </w:r>
            <w:r w:rsidRPr="00134822">
              <w:rPr>
                <w:rFonts w:hint="eastAsia"/>
                <w:sz w:val="18"/>
              </w:rPr>
              <w:t>（28天）</w:t>
            </w:r>
          </w:p>
        </w:tc>
        <w:tc>
          <w:tcPr>
            <w:tcW w:w="1701" w:type="dxa"/>
            <w:gridSpan w:val="2"/>
            <w:vAlign w:val="center"/>
          </w:tcPr>
          <w:p w:rsidR="000371B8" w:rsidRDefault="000371B8" w:rsidP="00092414">
            <w:pPr>
              <w:pStyle w:val="20"/>
              <w:ind w:leftChars="0" w:left="0" w:firstLineChars="0" w:firstLine="0"/>
              <w:jc w:val="center"/>
              <w:rPr>
                <w:sz w:val="18"/>
              </w:rPr>
            </w:pPr>
            <w:r w:rsidRPr="00134822">
              <w:rPr>
                <w:rFonts w:hint="eastAsia"/>
                <w:sz w:val="18"/>
              </w:rPr>
              <w:t>美国</w:t>
            </w:r>
            <w:proofErr w:type="spellStart"/>
            <w:r w:rsidRPr="00134822">
              <w:rPr>
                <w:rFonts w:hint="eastAsia"/>
                <w:sz w:val="18"/>
              </w:rPr>
              <w:t>greenguard</w:t>
            </w:r>
            <w:proofErr w:type="spellEnd"/>
          </w:p>
          <w:p w:rsidR="000371B8" w:rsidRPr="00134822" w:rsidRDefault="000371B8" w:rsidP="00092414">
            <w:pPr>
              <w:pStyle w:val="20"/>
              <w:ind w:leftChars="0" w:left="0" w:firstLineChars="0" w:firstLine="0"/>
              <w:jc w:val="center"/>
              <w:rPr>
                <w:sz w:val="18"/>
              </w:rPr>
            </w:pPr>
            <w:r w:rsidRPr="00134822">
              <w:rPr>
                <w:rFonts w:hint="eastAsia"/>
                <w:sz w:val="18"/>
              </w:rPr>
              <w:t>(7天)</w:t>
            </w:r>
          </w:p>
        </w:tc>
        <w:tc>
          <w:tcPr>
            <w:tcW w:w="3012" w:type="dxa"/>
            <w:gridSpan w:val="3"/>
            <w:vAlign w:val="center"/>
          </w:tcPr>
          <w:p w:rsidR="000371B8" w:rsidRPr="00134822" w:rsidRDefault="000371B8" w:rsidP="00092414">
            <w:pPr>
              <w:pStyle w:val="20"/>
              <w:ind w:leftChars="0" w:left="0" w:firstLineChars="0" w:firstLine="0"/>
              <w:jc w:val="center"/>
              <w:rPr>
                <w:sz w:val="18"/>
              </w:rPr>
            </w:pPr>
            <w:r w:rsidRPr="00134822">
              <w:rPr>
                <w:rFonts w:hint="eastAsia"/>
                <w:sz w:val="18"/>
              </w:rPr>
              <w:t>JG/T481（3天）</w:t>
            </w:r>
          </w:p>
        </w:tc>
      </w:tr>
      <w:tr w:rsidR="005860C0" w:rsidRPr="00134822" w:rsidTr="005860C0">
        <w:trPr>
          <w:cantSplit/>
          <w:trHeight w:val="20"/>
          <w:jc w:val="center"/>
        </w:trPr>
        <w:tc>
          <w:tcPr>
            <w:tcW w:w="780" w:type="dxa"/>
            <w:vAlign w:val="center"/>
          </w:tcPr>
          <w:p w:rsidR="005860C0" w:rsidRPr="00134822" w:rsidRDefault="005860C0" w:rsidP="00092414">
            <w:pPr>
              <w:pStyle w:val="20"/>
              <w:ind w:leftChars="0" w:left="0" w:firstLineChars="0" w:firstLine="0"/>
              <w:jc w:val="center"/>
              <w:rPr>
                <w:sz w:val="18"/>
              </w:rPr>
            </w:pPr>
            <w:r w:rsidRPr="00134822">
              <w:rPr>
                <w:rFonts w:hint="eastAsia"/>
                <w:sz w:val="18"/>
              </w:rPr>
              <w:t>释放量</w:t>
            </w:r>
          </w:p>
        </w:tc>
        <w:tc>
          <w:tcPr>
            <w:tcW w:w="681" w:type="dxa"/>
            <w:vAlign w:val="center"/>
          </w:tcPr>
          <w:p w:rsidR="005860C0" w:rsidRPr="00134822" w:rsidRDefault="005860C0" w:rsidP="00092414">
            <w:pPr>
              <w:pStyle w:val="20"/>
              <w:ind w:leftChars="-16" w:left="-38" w:firstLineChars="3" w:firstLine="5"/>
              <w:jc w:val="center"/>
              <w:rPr>
                <w:sz w:val="18"/>
              </w:rPr>
            </w:pPr>
            <w:r w:rsidRPr="00134822">
              <w:rPr>
                <w:rFonts w:hint="eastAsia"/>
                <w:sz w:val="18"/>
              </w:rPr>
              <w:t>C</w:t>
            </w:r>
          </w:p>
        </w:tc>
        <w:tc>
          <w:tcPr>
            <w:tcW w:w="709" w:type="dxa"/>
            <w:vAlign w:val="center"/>
          </w:tcPr>
          <w:p w:rsidR="005860C0" w:rsidRPr="00134822" w:rsidRDefault="005860C0" w:rsidP="00092414">
            <w:pPr>
              <w:pStyle w:val="20"/>
              <w:ind w:leftChars="-33" w:left="-79" w:firstLineChars="9" w:firstLine="16"/>
              <w:jc w:val="center"/>
              <w:rPr>
                <w:sz w:val="18"/>
              </w:rPr>
            </w:pPr>
            <w:r w:rsidRPr="00134822">
              <w:rPr>
                <w:rFonts w:hint="eastAsia"/>
                <w:sz w:val="18"/>
              </w:rPr>
              <w:t>B</w:t>
            </w:r>
          </w:p>
        </w:tc>
        <w:tc>
          <w:tcPr>
            <w:tcW w:w="709" w:type="dxa"/>
            <w:vAlign w:val="center"/>
          </w:tcPr>
          <w:p w:rsidR="005860C0" w:rsidRPr="00134822" w:rsidRDefault="005860C0" w:rsidP="00092414">
            <w:pPr>
              <w:pStyle w:val="20"/>
              <w:ind w:leftChars="-50" w:left="-120" w:firstLineChars="9" w:firstLine="16"/>
              <w:jc w:val="center"/>
              <w:rPr>
                <w:sz w:val="18"/>
              </w:rPr>
            </w:pPr>
            <w:r w:rsidRPr="00134822">
              <w:rPr>
                <w:rFonts w:hint="eastAsia"/>
                <w:sz w:val="18"/>
              </w:rPr>
              <w:t>A</w:t>
            </w:r>
          </w:p>
        </w:tc>
        <w:tc>
          <w:tcPr>
            <w:tcW w:w="709" w:type="dxa"/>
            <w:vAlign w:val="center"/>
          </w:tcPr>
          <w:p w:rsidR="005860C0" w:rsidRPr="00134822" w:rsidRDefault="005860C0" w:rsidP="00092414">
            <w:pPr>
              <w:pStyle w:val="20"/>
              <w:ind w:leftChars="-33" w:left="-79" w:firstLineChars="12" w:firstLine="22"/>
              <w:jc w:val="center"/>
              <w:rPr>
                <w:sz w:val="18"/>
                <w:vertAlign w:val="superscript"/>
              </w:rPr>
            </w:pPr>
            <w:r w:rsidRPr="00134822">
              <w:rPr>
                <w:rFonts w:hint="eastAsia"/>
                <w:sz w:val="18"/>
              </w:rPr>
              <w:t>A</w:t>
            </w:r>
            <w:r w:rsidRPr="00134822">
              <w:rPr>
                <w:rFonts w:hint="eastAsia"/>
                <w:sz w:val="18"/>
                <w:vertAlign w:val="superscript"/>
              </w:rPr>
              <w:t>+</w:t>
            </w:r>
          </w:p>
        </w:tc>
        <w:tc>
          <w:tcPr>
            <w:tcW w:w="946" w:type="dxa"/>
            <w:vAlign w:val="center"/>
          </w:tcPr>
          <w:p w:rsidR="005860C0" w:rsidRPr="00134822" w:rsidRDefault="005860C0" w:rsidP="00092414">
            <w:pPr>
              <w:pStyle w:val="20"/>
              <w:ind w:leftChars="0" w:left="0" w:firstLineChars="0" w:firstLine="0"/>
              <w:jc w:val="center"/>
              <w:rPr>
                <w:sz w:val="18"/>
              </w:rPr>
            </w:pPr>
            <w:r w:rsidRPr="00134822">
              <w:rPr>
                <w:rFonts w:hint="eastAsia"/>
                <w:sz w:val="18"/>
              </w:rPr>
              <w:t>一般要求</w:t>
            </w:r>
          </w:p>
        </w:tc>
        <w:tc>
          <w:tcPr>
            <w:tcW w:w="755" w:type="dxa"/>
            <w:vAlign w:val="center"/>
          </w:tcPr>
          <w:p w:rsidR="005860C0" w:rsidRPr="00134822" w:rsidRDefault="005860C0" w:rsidP="00092414">
            <w:pPr>
              <w:pStyle w:val="20"/>
              <w:ind w:leftChars="-53" w:left="-127" w:firstLineChars="10" w:firstLine="18"/>
              <w:jc w:val="center"/>
              <w:rPr>
                <w:sz w:val="18"/>
              </w:rPr>
            </w:pPr>
            <w:r w:rsidRPr="00134822">
              <w:rPr>
                <w:rFonts w:hint="eastAsia"/>
                <w:sz w:val="18"/>
              </w:rPr>
              <w:t>儿童认证要求</w:t>
            </w:r>
          </w:p>
        </w:tc>
        <w:tc>
          <w:tcPr>
            <w:tcW w:w="850" w:type="dxa"/>
            <w:vAlign w:val="center"/>
          </w:tcPr>
          <w:p w:rsidR="005860C0" w:rsidRPr="00134822" w:rsidRDefault="005860C0" w:rsidP="00092414">
            <w:pPr>
              <w:pStyle w:val="20"/>
              <w:ind w:leftChars="-43" w:left="-103" w:firstLineChars="37" w:firstLine="67"/>
              <w:jc w:val="center"/>
              <w:rPr>
                <w:sz w:val="18"/>
              </w:rPr>
            </w:pPr>
            <w:r w:rsidRPr="00134822">
              <w:rPr>
                <w:rFonts w:hint="eastAsia"/>
                <w:sz w:val="18"/>
              </w:rPr>
              <w:t>腻子</w:t>
            </w:r>
          </w:p>
        </w:tc>
        <w:tc>
          <w:tcPr>
            <w:tcW w:w="1089" w:type="dxa"/>
            <w:vAlign w:val="center"/>
          </w:tcPr>
          <w:p w:rsidR="005860C0" w:rsidRPr="00134822" w:rsidRDefault="005860C0" w:rsidP="00092414">
            <w:pPr>
              <w:pStyle w:val="20"/>
              <w:ind w:leftChars="-13" w:left="-31" w:firstLineChars="9" w:firstLine="16"/>
              <w:jc w:val="center"/>
              <w:rPr>
                <w:sz w:val="18"/>
              </w:rPr>
            </w:pPr>
            <w:r w:rsidRPr="00134822">
              <w:rPr>
                <w:rFonts w:hint="eastAsia"/>
                <w:sz w:val="18"/>
              </w:rPr>
              <w:t>内墙底漆</w:t>
            </w:r>
          </w:p>
        </w:tc>
        <w:tc>
          <w:tcPr>
            <w:tcW w:w="1073" w:type="dxa"/>
            <w:vAlign w:val="center"/>
          </w:tcPr>
          <w:p w:rsidR="005860C0" w:rsidRPr="00134822" w:rsidRDefault="005860C0" w:rsidP="00092414">
            <w:pPr>
              <w:pStyle w:val="20"/>
              <w:ind w:leftChars="-35" w:left="-84" w:firstLineChars="31" w:firstLine="56"/>
              <w:jc w:val="center"/>
              <w:rPr>
                <w:sz w:val="18"/>
              </w:rPr>
            </w:pPr>
            <w:r w:rsidRPr="00134822">
              <w:rPr>
                <w:rFonts w:hint="eastAsia"/>
                <w:sz w:val="18"/>
              </w:rPr>
              <w:t>内墙涂料</w:t>
            </w:r>
          </w:p>
        </w:tc>
      </w:tr>
      <w:tr w:rsidR="005860C0" w:rsidRPr="00134822" w:rsidTr="005860C0">
        <w:trPr>
          <w:cantSplit/>
          <w:trHeight w:val="20"/>
          <w:jc w:val="center"/>
        </w:trPr>
        <w:tc>
          <w:tcPr>
            <w:tcW w:w="780" w:type="dxa"/>
            <w:vMerge w:val="restart"/>
            <w:vAlign w:val="center"/>
          </w:tcPr>
          <w:p w:rsidR="005860C0" w:rsidRPr="00134822" w:rsidRDefault="005860C0" w:rsidP="00092414">
            <w:pPr>
              <w:pStyle w:val="20"/>
              <w:ind w:leftChars="0" w:left="0" w:firstLineChars="0" w:firstLine="0"/>
              <w:jc w:val="center"/>
              <w:rPr>
                <w:sz w:val="18"/>
              </w:rPr>
            </w:pPr>
            <w:r w:rsidRPr="00134822">
              <w:rPr>
                <w:rFonts w:hint="eastAsia"/>
                <w:sz w:val="18"/>
              </w:rPr>
              <w:lastRenderedPageBreak/>
              <w:t>TVOC</w:t>
            </w:r>
          </w:p>
        </w:tc>
        <w:tc>
          <w:tcPr>
            <w:tcW w:w="681" w:type="dxa"/>
            <w:vMerge w:val="restart"/>
            <w:vAlign w:val="center"/>
          </w:tcPr>
          <w:p w:rsidR="005860C0" w:rsidRPr="00134822" w:rsidRDefault="005860C0" w:rsidP="00092414">
            <w:pPr>
              <w:pStyle w:val="20"/>
              <w:ind w:leftChars="-56" w:left="-112" w:hangingChars="12" w:hanging="22"/>
              <w:jc w:val="center"/>
              <w:rPr>
                <w:sz w:val="18"/>
              </w:rPr>
            </w:pPr>
            <w:r w:rsidRPr="00134822">
              <w:rPr>
                <w:rFonts w:hint="eastAsia"/>
                <w:sz w:val="18"/>
              </w:rPr>
              <w:t>＞2</w:t>
            </w:r>
          </w:p>
        </w:tc>
        <w:tc>
          <w:tcPr>
            <w:tcW w:w="709" w:type="dxa"/>
            <w:vMerge w:val="restart"/>
            <w:vAlign w:val="center"/>
          </w:tcPr>
          <w:p w:rsidR="005860C0" w:rsidRPr="00134822" w:rsidRDefault="005860C0" w:rsidP="00092414">
            <w:pPr>
              <w:pStyle w:val="20"/>
              <w:ind w:leftChars="-45" w:left="-108" w:firstLineChars="0" w:firstLine="0"/>
              <w:jc w:val="center"/>
              <w:rPr>
                <w:sz w:val="18"/>
              </w:rPr>
            </w:pPr>
            <w:r w:rsidRPr="00134822">
              <w:rPr>
                <w:rFonts w:hint="eastAsia"/>
                <w:sz w:val="18"/>
              </w:rPr>
              <w:t>≤2</w:t>
            </w:r>
          </w:p>
        </w:tc>
        <w:tc>
          <w:tcPr>
            <w:tcW w:w="709" w:type="dxa"/>
            <w:vMerge w:val="restart"/>
            <w:vAlign w:val="center"/>
          </w:tcPr>
          <w:p w:rsidR="005860C0" w:rsidRPr="00134822" w:rsidRDefault="005860C0" w:rsidP="00092414">
            <w:pPr>
              <w:pStyle w:val="20"/>
              <w:ind w:leftChars="1" w:left="20" w:hangingChars="10" w:hanging="18"/>
              <w:jc w:val="center"/>
              <w:rPr>
                <w:sz w:val="18"/>
              </w:rPr>
            </w:pPr>
            <w:r>
              <w:rPr>
                <w:rFonts w:hint="eastAsia"/>
                <w:sz w:val="18"/>
              </w:rPr>
              <w:t>≤1.5</w:t>
            </w:r>
          </w:p>
        </w:tc>
        <w:tc>
          <w:tcPr>
            <w:tcW w:w="709" w:type="dxa"/>
            <w:vMerge w:val="restart"/>
            <w:vAlign w:val="center"/>
          </w:tcPr>
          <w:p w:rsidR="005860C0" w:rsidRPr="00134822" w:rsidRDefault="005860C0" w:rsidP="00092414">
            <w:pPr>
              <w:pStyle w:val="20"/>
              <w:ind w:leftChars="-40" w:left="-96" w:firstLineChars="31" w:firstLine="56"/>
              <w:jc w:val="center"/>
              <w:rPr>
                <w:sz w:val="18"/>
              </w:rPr>
            </w:pPr>
            <w:r w:rsidRPr="00134822">
              <w:rPr>
                <w:rFonts w:hint="eastAsia"/>
                <w:sz w:val="18"/>
              </w:rPr>
              <w:t>≤1</w:t>
            </w:r>
          </w:p>
        </w:tc>
        <w:tc>
          <w:tcPr>
            <w:tcW w:w="946" w:type="dxa"/>
            <w:vMerge w:val="restart"/>
            <w:vAlign w:val="center"/>
          </w:tcPr>
          <w:p w:rsidR="005860C0" w:rsidRPr="00134822" w:rsidRDefault="005860C0" w:rsidP="00092414">
            <w:pPr>
              <w:pStyle w:val="20"/>
              <w:ind w:leftChars="0" w:left="0" w:firstLineChars="0" w:firstLine="0"/>
              <w:jc w:val="center"/>
              <w:rPr>
                <w:sz w:val="18"/>
              </w:rPr>
            </w:pPr>
            <w:r w:rsidRPr="00134822">
              <w:rPr>
                <w:rFonts w:hint="eastAsia"/>
                <w:sz w:val="18"/>
              </w:rPr>
              <w:t>≤0.5</w:t>
            </w:r>
          </w:p>
        </w:tc>
        <w:tc>
          <w:tcPr>
            <w:tcW w:w="755" w:type="dxa"/>
            <w:vMerge w:val="restart"/>
            <w:vAlign w:val="center"/>
          </w:tcPr>
          <w:p w:rsidR="005860C0" w:rsidRPr="00134822" w:rsidRDefault="005860C0" w:rsidP="00092414">
            <w:pPr>
              <w:pStyle w:val="20"/>
              <w:ind w:leftChars="-52" w:left="-125" w:firstLineChars="7" w:firstLine="13"/>
              <w:jc w:val="center"/>
              <w:rPr>
                <w:sz w:val="18"/>
              </w:rPr>
            </w:pPr>
            <w:r w:rsidRPr="00134822">
              <w:rPr>
                <w:rFonts w:hint="eastAsia"/>
                <w:sz w:val="18"/>
              </w:rPr>
              <w:t>≤0.22</w:t>
            </w:r>
          </w:p>
        </w:tc>
        <w:tc>
          <w:tcPr>
            <w:tcW w:w="850" w:type="dxa"/>
            <w:vAlign w:val="center"/>
          </w:tcPr>
          <w:p w:rsidR="005860C0" w:rsidRPr="00134822" w:rsidRDefault="005860C0" w:rsidP="00092414">
            <w:pPr>
              <w:pStyle w:val="20"/>
              <w:ind w:leftChars="-43" w:left="-103" w:firstLineChars="37" w:firstLine="67"/>
              <w:jc w:val="center"/>
              <w:rPr>
                <w:sz w:val="18"/>
              </w:rPr>
            </w:pPr>
            <w:r w:rsidRPr="00134822">
              <w:rPr>
                <w:rFonts w:hint="eastAsia"/>
                <w:sz w:val="18"/>
              </w:rPr>
              <w:t>≤3.0</w:t>
            </w:r>
          </w:p>
        </w:tc>
        <w:tc>
          <w:tcPr>
            <w:tcW w:w="1089" w:type="dxa"/>
            <w:vAlign w:val="center"/>
          </w:tcPr>
          <w:p w:rsidR="005860C0" w:rsidRPr="00134822" w:rsidRDefault="005860C0" w:rsidP="00092414">
            <w:pPr>
              <w:pStyle w:val="20"/>
              <w:ind w:leftChars="-13" w:left="-31" w:firstLineChars="17" w:firstLine="31"/>
              <w:jc w:val="center"/>
              <w:rPr>
                <w:sz w:val="18"/>
              </w:rPr>
            </w:pPr>
            <w:r w:rsidRPr="00134822">
              <w:rPr>
                <w:rFonts w:hint="eastAsia"/>
                <w:sz w:val="18"/>
              </w:rPr>
              <w:t>≤4.0</w:t>
            </w:r>
          </w:p>
        </w:tc>
        <w:tc>
          <w:tcPr>
            <w:tcW w:w="1073" w:type="dxa"/>
            <w:vAlign w:val="center"/>
          </w:tcPr>
          <w:p w:rsidR="005860C0" w:rsidRPr="00134822" w:rsidRDefault="005860C0" w:rsidP="00092414">
            <w:pPr>
              <w:pStyle w:val="20"/>
              <w:ind w:leftChars="-65" w:left="-82" w:hangingChars="41" w:hanging="74"/>
              <w:jc w:val="center"/>
              <w:rPr>
                <w:sz w:val="18"/>
              </w:rPr>
            </w:pPr>
            <w:r w:rsidRPr="00134822">
              <w:rPr>
                <w:rFonts w:hint="eastAsia"/>
                <w:sz w:val="18"/>
              </w:rPr>
              <w:t>≤3.0</w:t>
            </w:r>
          </w:p>
        </w:tc>
      </w:tr>
      <w:tr w:rsidR="005860C0" w:rsidRPr="00134822" w:rsidTr="005860C0">
        <w:trPr>
          <w:cantSplit/>
          <w:trHeight w:val="20"/>
          <w:jc w:val="center"/>
        </w:trPr>
        <w:tc>
          <w:tcPr>
            <w:tcW w:w="780" w:type="dxa"/>
            <w:vMerge/>
            <w:vAlign w:val="center"/>
          </w:tcPr>
          <w:p w:rsidR="005860C0" w:rsidRPr="00134822" w:rsidRDefault="005860C0" w:rsidP="00092414">
            <w:pPr>
              <w:pStyle w:val="20"/>
              <w:ind w:leftChars="0" w:left="0" w:firstLine="360"/>
              <w:jc w:val="center"/>
              <w:rPr>
                <w:sz w:val="18"/>
              </w:rPr>
            </w:pPr>
          </w:p>
        </w:tc>
        <w:tc>
          <w:tcPr>
            <w:tcW w:w="681" w:type="dxa"/>
            <w:vMerge/>
            <w:vAlign w:val="center"/>
          </w:tcPr>
          <w:p w:rsidR="005860C0" w:rsidRPr="00134822" w:rsidRDefault="005860C0" w:rsidP="00092414">
            <w:pPr>
              <w:pStyle w:val="20"/>
              <w:ind w:firstLine="360"/>
              <w:jc w:val="center"/>
              <w:rPr>
                <w:sz w:val="18"/>
              </w:rPr>
            </w:pPr>
          </w:p>
        </w:tc>
        <w:tc>
          <w:tcPr>
            <w:tcW w:w="709" w:type="dxa"/>
            <w:vMerge/>
            <w:vAlign w:val="center"/>
          </w:tcPr>
          <w:p w:rsidR="005860C0" w:rsidRPr="00134822" w:rsidRDefault="005860C0" w:rsidP="00092414">
            <w:pPr>
              <w:pStyle w:val="20"/>
              <w:ind w:firstLine="360"/>
              <w:jc w:val="center"/>
              <w:rPr>
                <w:sz w:val="18"/>
              </w:rPr>
            </w:pPr>
          </w:p>
        </w:tc>
        <w:tc>
          <w:tcPr>
            <w:tcW w:w="709" w:type="dxa"/>
            <w:vMerge/>
            <w:vAlign w:val="center"/>
          </w:tcPr>
          <w:p w:rsidR="005860C0" w:rsidRPr="00134822" w:rsidRDefault="005860C0" w:rsidP="00092414">
            <w:pPr>
              <w:pStyle w:val="20"/>
              <w:ind w:leftChars="8" w:left="19" w:firstLine="360"/>
              <w:jc w:val="center"/>
              <w:rPr>
                <w:sz w:val="18"/>
              </w:rPr>
            </w:pPr>
          </w:p>
        </w:tc>
        <w:tc>
          <w:tcPr>
            <w:tcW w:w="709" w:type="dxa"/>
            <w:vMerge/>
            <w:vAlign w:val="center"/>
          </w:tcPr>
          <w:p w:rsidR="005860C0" w:rsidRPr="00134822" w:rsidRDefault="005860C0" w:rsidP="00092414">
            <w:pPr>
              <w:pStyle w:val="20"/>
              <w:ind w:leftChars="-40" w:left="-96" w:firstLine="360"/>
              <w:jc w:val="center"/>
              <w:rPr>
                <w:sz w:val="18"/>
              </w:rPr>
            </w:pPr>
          </w:p>
        </w:tc>
        <w:tc>
          <w:tcPr>
            <w:tcW w:w="946" w:type="dxa"/>
            <w:vMerge/>
            <w:vAlign w:val="center"/>
          </w:tcPr>
          <w:p w:rsidR="005860C0" w:rsidRPr="00134822" w:rsidRDefault="005860C0" w:rsidP="00092414">
            <w:pPr>
              <w:pStyle w:val="20"/>
              <w:ind w:leftChars="0" w:left="0" w:firstLine="360"/>
              <w:jc w:val="center"/>
              <w:rPr>
                <w:sz w:val="18"/>
              </w:rPr>
            </w:pPr>
          </w:p>
        </w:tc>
        <w:tc>
          <w:tcPr>
            <w:tcW w:w="755" w:type="dxa"/>
            <w:vMerge/>
            <w:vAlign w:val="center"/>
          </w:tcPr>
          <w:p w:rsidR="005860C0" w:rsidRPr="00134822" w:rsidRDefault="005860C0" w:rsidP="00092414">
            <w:pPr>
              <w:pStyle w:val="20"/>
              <w:ind w:leftChars="-52" w:left="-125" w:firstLine="360"/>
              <w:jc w:val="center"/>
              <w:rPr>
                <w:sz w:val="18"/>
              </w:rPr>
            </w:pPr>
          </w:p>
        </w:tc>
        <w:tc>
          <w:tcPr>
            <w:tcW w:w="3012" w:type="dxa"/>
            <w:gridSpan w:val="3"/>
            <w:vAlign w:val="center"/>
          </w:tcPr>
          <w:p w:rsidR="005860C0" w:rsidRPr="00134822" w:rsidRDefault="005860C0" w:rsidP="00092414">
            <w:pPr>
              <w:pStyle w:val="20"/>
              <w:ind w:leftChars="-45" w:left="-108" w:firstLineChars="0" w:firstLine="0"/>
              <w:jc w:val="center"/>
              <w:rPr>
                <w:sz w:val="18"/>
              </w:rPr>
            </w:pPr>
            <w:r w:rsidRPr="00134822">
              <w:rPr>
                <w:rFonts w:hint="eastAsia"/>
                <w:sz w:val="18"/>
              </w:rPr>
              <w:t>≤1.0</w:t>
            </w:r>
          </w:p>
        </w:tc>
      </w:tr>
      <w:tr w:rsidR="000371B8" w:rsidRPr="00134822" w:rsidTr="005860C0">
        <w:trPr>
          <w:cantSplit/>
          <w:trHeight w:val="20"/>
          <w:jc w:val="center"/>
        </w:trPr>
        <w:tc>
          <w:tcPr>
            <w:tcW w:w="780" w:type="dxa"/>
            <w:vAlign w:val="center"/>
          </w:tcPr>
          <w:p w:rsidR="000371B8" w:rsidRPr="00134822" w:rsidRDefault="000371B8" w:rsidP="00092414">
            <w:pPr>
              <w:pStyle w:val="20"/>
              <w:ind w:leftChars="0" w:left="0" w:firstLineChars="0" w:firstLine="0"/>
              <w:jc w:val="center"/>
              <w:rPr>
                <w:sz w:val="18"/>
              </w:rPr>
            </w:pPr>
            <w:r w:rsidRPr="00134822">
              <w:rPr>
                <w:rFonts w:hint="eastAsia"/>
                <w:sz w:val="18"/>
              </w:rPr>
              <w:t>甲醛</w:t>
            </w:r>
          </w:p>
        </w:tc>
        <w:tc>
          <w:tcPr>
            <w:tcW w:w="681" w:type="dxa"/>
            <w:vAlign w:val="center"/>
          </w:tcPr>
          <w:p w:rsidR="000371B8" w:rsidRPr="00134822" w:rsidRDefault="000371B8" w:rsidP="00092414">
            <w:pPr>
              <w:pStyle w:val="20"/>
              <w:ind w:leftChars="-56" w:left="-134" w:firstLineChars="0" w:firstLine="0"/>
              <w:jc w:val="center"/>
              <w:rPr>
                <w:sz w:val="18"/>
              </w:rPr>
            </w:pPr>
            <w:r w:rsidRPr="00134822">
              <w:rPr>
                <w:rFonts w:hint="eastAsia"/>
                <w:sz w:val="18"/>
              </w:rPr>
              <w:t>＞0.12</w:t>
            </w:r>
          </w:p>
        </w:tc>
        <w:tc>
          <w:tcPr>
            <w:tcW w:w="709" w:type="dxa"/>
            <w:vAlign w:val="center"/>
          </w:tcPr>
          <w:p w:rsidR="000371B8" w:rsidRPr="00134822" w:rsidRDefault="000371B8" w:rsidP="00092414">
            <w:pPr>
              <w:pStyle w:val="20"/>
              <w:ind w:leftChars="-45" w:left="-108" w:firstLineChars="0" w:firstLine="0"/>
              <w:jc w:val="center"/>
              <w:rPr>
                <w:sz w:val="18"/>
              </w:rPr>
            </w:pPr>
            <w:r w:rsidRPr="00134822">
              <w:rPr>
                <w:rFonts w:hint="eastAsia"/>
                <w:sz w:val="18"/>
              </w:rPr>
              <w:t>≤0.12</w:t>
            </w:r>
          </w:p>
        </w:tc>
        <w:tc>
          <w:tcPr>
            <w:tcW w:w="709" w:type="dxa"/>
            <w:vAlign w:val="center"/>
          </w:tcPr>
          <w:p w:rsidR="000371B8" w:rsidRPr="00134822" w:rsidRDefault="000371B8" w:rsidP="00092414">
            <w:pPr>
              <w:pStyle w:val="20"/>
              <w:ind w:leftChars="-41" w:left="-98" w:firstLineChars="2" w:firstLine="4"/>
              <w:jc w:val="center"/>
              <w:rPr>
                <w:sz w:val="18"/>
              </w:rPr>
            </w:pPr>
            <w:r w:rsidRPr="00134822">
              <w:rPr>
                <w:rFonts w:hint="eastAsia"/>
                <w:sz w:val="18"/>
              </w:rPr>
              <w:t>≤0.06</w:t>
            </w:r>
          </w:p>
        </w:tc>
        <w:tc>
          <w:tcPr>
            <w:tcW w:w="709" w:type="dxa"/>
            <w:vAlign w:val="center"/>
          </w:tcPr>
          <w:p w:rsidR="000371B8" w:rsidRPr="00134822" w:rsidRDefault="000371B8" w:rsidP="00092414">
            <w:pPr>
              <w:pStyle w:val="20"/>
              <w:ind w:leftChars="-45" w:left="-97" w:hangingChars="6" w:hanging="11"/>
              <w:jc w:val="center"/>
              <w:rPr>
                <w:sz w:val="18"/>
              </w:rPr>
            </w:pPr>
            <w:r w:rsidRPr="00134822">
              <w:rPr>
                <w:rFonts w:hint="eastAsia"/>
                <w:sz w:val="18"/>
              </w:rPr>
              <w:t>≤0.01</w:t>
            </w:r>
          </w:p>
        </w:tc>
        <w:tc>
          <w:tcPr>
            <w:tcW w:w="946" w:type="dxa"/>
            <w:vAlign w:val="center"/>
          </w:tcPr>
          <w:p w:rsidR="000371B8" w:rsidRPr="00134822" w:rsidRDefault="000371B8" w:rsidP="00092414">
            <w:pPr>
              <w:pStyle w:val="20"/>
              <w:ind w:leftChars="-45" w:left="-108" w:firstLineChars="0" w:firstLine="0"/>
              <w:jc w:val="center"/>
              <w:rPr>
                <w:sz w:val="18"/>
              </w:rPr>
            </w:pPr>
            <w:r w:rsidRPr="00134822">
              <w:rPr>
                <w:rFonts w:hint="eastAsia"/>
                <w:sz w:val="18"/>
              </w:rPr>
              <w:t>≤0.05</w:t>
            </w:r>
          </w:p>
        </w:tc>
        <w:tc>
          <w:tcPr>
            <w:tcW w:w="755" w:type="dxa"/>
            <w:vAlign w:val="center"/>
          </w:tcPr>
          <w:p w:rsidR="000371B8" w:rsidRPr="00134822" w:rsidRDefault="000371B8" w:rsidP="00092414">
            <w:pPr>
              <w:pStyle w:val="20"/>
              <w:ind w:leftChars="-52" w:left="-125" w:firstLineChars="7" w:firstLine="13"/>
              <w:jc w:val="center"/>
              <w:rPr>
                <w:sz w:val="18"/>
              </w:rPr>
            </w:pPr>
            <w:r w:rsidRPr="00134822">
              <w:rPr>
                <w:rFonts w:hint="eastAsia"/>
                <w:sz w:val="18"/>
              </w:rPr>
              <w:t>≤0.025</w:t>
            </w:r>
          </w:p>
        </w:tc>
        <w:tc>
          <w:tcPr>
            <w:tcW w:w="3012" w:type="dxa"/>
            <w:gridSpan w:val="3"/>
            <w:vAlign w:val="center"/>
          </w:tcPr>
          <w:p w:rsidR="000371B8" w:rsidRPr="00134822" w:rsidRDefault="000371B8" w:rsidP="00092414">
            <w:pPr>
              <w:pStyle w:val="20"/>
              <w:ind w:leftChars="-45" w:left="-108" w:firstLineChars="0" w:firstLine="0"/>
              <w:jc w:val="center"/>
              <w:rPr>
                <w:sz w:val="18"/>
              </w:rPr>
            </w:pPr>
            <w:r w:rsidRPr="00134822">
              <w:rPr>
                <w:rFonts w:hint="eastAsia"/>
                <w:sz w:val="18"/>
              </w:rPr>
              <w:t>≤0.1</w:t>
            </w:r>
          </w:p>
        </w:tc>
      </w:tr>
    </w:tbl>
    <w:p w:rsidR="000371B8" w:rsidRPr="008A4A56" w:rsidRDefault="000371B8" w:rsidP="002C78E7">
      <w:pPr>
        <w:pStyle w:val="20"/>
        <w:numPr>
          <w:ilvl w:val="0"/>
          <w:numId w:val="6"/>
        </w:numPr>
        <w:ind w:leftChars="0" w:left="0" w:firstLineChars="177" w:firstLine="425"/>
      </w:pPr>
      <w:r w:rsidRPr="008A4A56">
        <w:rPr>
          <w:rFonts w:hint="eastAsia"/>
        </w:rPr>
        <w:t>甲醛</w:t>
      </w:r>
      <w:r>
        <w:rPr>
          <w:rFonts w:hint="eastAsia"/>
        </w:rPr>
        <w:t>含量</w:t>
      </w:r>
    </w:p>
    <w:p w:rsidR="000371B8" w:rsidRDefault="000371B8" w:rsidP="008A5A87">
      <w:r w:rsidRPr="008A4A56">
        <w:rPr>
          <w:rFonts w:hint="eastAsia"/>
        </w:rPr>
        <w:t>甲醛对人体的危害已众所周知，国际癌症研究中心已将其列为人类可疑致癌物质。</w:t>
      </w:r>
      <w:r>
        <w:rPr>
          <w:rFonts w:hint="eastAsia"/>
        </w:rPr>
        <w:t>装饰壁材产品</w:t>
      </w:r>
      <w:r w:rsidRPr="008A4A56">
        <w:rPr>
          <w:rFonts w:hint="eastAsia"/>
        </w:rPr>
        <w:t>为改善使用性能，可能使用含有甲醛的助剂（如防霉剂等），但含量较少。因此，对室内用所有</w:t>
      </w:r>
      <w:r>
        <w:rPr>
          <w:rFonts w:hint="eastAsia"/>
        </w:rPr>
        <w:t>装饰壁材产品</w:t>
      </w:r>
      <w:r w:rsidRPr="008A4A56">
        <w:rPr>
          <w:rFonts w:hint="eastAsia"/>
        </w:rPr>
        <w:t>中游离甲醛的控制也是本项目的重点。</w:t>
      </w:r>
      <w:r>
        <w:rPr>
          <w:rFonts w:hint="eastAsia"/>
        </w:rPr>
        <w:t>欧洲生态标签、德国蓝天使等对无机干粉壁材类产品没有相关的指标限定。本标准参考《绿色产品评价 涂料》中的要求。游离甲醛含量不大于5mg/kg,测试方法为乙酰丙酮法。</w:t>
      </w:r>
    </w:p>
    <w:p w:rsidR="000371B8" w:rsidRDefault="000371B8" w:rsidP="002C78E7">
      <w:pPr>
        <w:pStyle w:val="aa"/>
        <w:numPr>
          <w:ilvl w:val="0"/>
          <w:numId w:val="6"/>
        </w:numPr>
        <w:ind w:left="0" w:firstLineChars="177" w:firstLine="425"/>
      </w:pPr>
      <w:r>
        <w:rPr>
          <w:rFonts w:hint="eastAsia"/>
        </w:rPr>
        <w:t>挥发性芳香烃</w:t>
      </w:r>
    </w:p>
    <w:p w:rsidR="000371B8" w:rsidRDefault="000371B8" w:rsidP="00257AC9">
      <w:r w:rsidRPr="000371B8">
        <w:rPr>
          <w:rFonts w:hint="eastAsia"/>
        </w:rPr>
        <w:t>芳香类溶剂的溶解力较强，它是涂料工业中用量最大的一类溶剂。</w:t>
      </w:r>
      <w:r>
        <w:rPr>
          <w:rFonts w:hint="eastAsia"/>
        </w:rPr>
        <w:t>无机干粉类装饰壁材几乎不添加此类溶剂。鉴于消费者对苯系物的敏感性，</w:t>
      </w:r>
      <w:r w:rsidR="00007FD9">
        <w:rPr>
          <w:rFonts w:hint="eastAsia"/>
        </w:rPr>
        <w:t>本标准对该项目控制，甲苯、二甲苯、乙苯的总和指标。限量值为50mg/kg。</w:t>
      </w:r>
    </w:p>
    <w:p w:rsidR="00D86709" w:rsidRDefault="00D86709" w:rsidP="002C78E7">
      <w:pPr>
        <w:pStyle w:val="aa"/>
        <w:numPr>
          <w:ilvl w:val="0"/>
          <w:numId w:val="6"/>
        </w:numPr>
        <w:ind w:left="0" w:firstLineChars="177" w:firstLine="425"/>
      </w:pPr>
      <w:r w:rsidRPr="00D86709">
        <w:rPr>
          <w:rFonts w:hint="eastAsia"/>
        </w:rPr>
        <w:t>重金属</w:t>
      </w:r>
    </w:p>
    <w:p w:rsidR="00717358" w:rsidRDefault="00D86709" w:rsidP="00BC79AE">
      <w:r w:rsidRPr="00D86709">
        <w:rPr>
          <w:rFonts w:hint="eastAsia"/>
        </w:rPr>
        <w:t>重金属对人类及动物的危害很大，对水质、土壤等生态环境的影响同样严重。铬系颜料（如锌铬黄、锶铬黄、钼铬红）长期以来一直是涂料工业广泛应用的着色颜料。用于涂料中的含铅颜料也是很多的，如红丹、铅铬黄、碱式硅酸铅等。鉴于国际贸易大环境的需要以及消费者对重金属的敏感性，应进一步加强全行业对重金属尤其是铅危害的认识，提高环保意识，与国外先进国家看齐，扩大限制铅含量的</w:t>
      </w:r>
      <w:r w:rsidR="00257AC9">
        <w:rPr>
          <w:rFonts w:hint="eastAsia"/>
        </w:rPr>
        <w:t>涂装材料</w:t>
      </w:r>
      <w:r w:rsidRPr="00D86709">
        <w:rPr>
          <w:rFonts w:hint="eastAsia"/>
        </w:rPr>
        <w:t>品种</w:t>
      </w:r>
      <w:r w:rsidR="00257AC9">
        <w:rPr>
          <w:rFonts w:hint="eastAsia"/>
        </w:rPr>
        <w:t>。因此，对无机干粉类装饰涂装材料</w:t>
      </w:r>
      <w:r w:rsidRPr="00D86709">
        <w:rPr>
          <w:rFonts w:hint="eastAsia"/>
        </w:rPr>
        <w:t>中常用有害金属的控制应是本项目的重点。</w:t>
      </w:r>
    </w:p>
    <w:p w:rsidR="00D86709" w:rsidRDefault="00D86709" w:rsidP="00BC79AE">
      <w:r w:rsidRPr="00843A51">
        <w:rPr>
          <w:rFonts w:hint="eastAsia"/>
        </w:rPr>
        <w:t>本</w:t>
      </w:r>
      <w:r w:rsidR="00717358" w:rsidRPr="00843A51">
        <w:rPr>
          <w:rFonts w:hint="eastAsia"/>
        </w:rPr>
        <w:t>标准</w:t>
      </w:r>
      <w:r w:rsidRPr="00843A51">
        <w:rPr>
          <w:rFonts w:hint="eastAsia"/>
        </w:rPr>
        <w:t>项目对重金属的控制基本掌握从保护生存环境的角度控制8种重金属总量</w:t>
      </w:r>
      <w:r w:rsidR="009005C9" w:rsidRPr="00843A51">
        <w:rPr>
          <w:rFonts w:hint="eastAsia"/>
        </w:rPr>
        <w:t>，在指标上除了钡元素采用可溶性重金属的测试外，其余均与欧洲一致采</w:t>
      </w:r>
      <w:r w:rsidR="001B14E6">
        <w:rPr>
          <w:rFonts w:hint="eastAsia"/>
        </w:rPr>
        <w:t>用总重金属的测定方法。</w:t>
      </w:r>
      <w:r w:rsidR="00176BF6">
        <w:rPr>
          <w:rFonts w:hint="eastAsia"/>
        </w:rPr>
        <w:t>国际标准没有装饰壁材分类产品的具体要求，本标准的</w:t>
      </w:r>
      <w:r w:rsidR="001B14E6">
        <w:rPr>
          <w:rFonts w:hint="eastAsia"/>
        </w:rPr>
        <w:t>其他均参考《绿色产品评价 涂料》中重金属的要求。</w:t>
      </w:r>
      <w:r w:rsidR="00176BF6">
        <w:rPr>
          <w:rFonts w:hint="eastAsia"/>
        </w:rPr>
        <w:t>表2为不同地区建筑涂料领域的要求指标。</w:t>
      </w:r>
    </w:p>
    <w:p w:rsidR="005860C0" w:rsidRDefault="005860C0" w:rsidP="00BC79AE"/>
    <w:p w:rsidR="005860C0" w:rsidRDefault="005860C0" w:rsidP="00BC79AE"/>
    <w:p w:rsidR="00C43FE8" w:rsidRPr="00843A51" w:rsidRDefault="00311838" w:rsidP="005860C0">
      <w:pPr>
        <w:jc w:val="center"/>
      </w:pPr>
      <w:r>
        <w:rPr>
          <w:rFonts w:hint="eastAsia"/>
        </w:rPr>
        <w:lastRenderedPageBreak/>
        <w:t xml:space="preserve">表2 </w:t>
      </w:r>
      <w:r w:rsidR="00837466">
        <w:rPr>
          <w:rFonts w:hint="eastAsia"/>
        </w:rPr>
        <w:t>不同地区重金属含量限值指标</w:t>
      </w:r>
    </w:p>
    <w:tbl>
      <w:tblPr>
        <w:tblW w:w="4812"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tblPr>
      <w:tblGrid>
        <w:gridCol w:w="1244"/>
        <w:gridCol w:w="1135"/>
        <w:gridCol w:w="1132"/>
        <w:gridCol w:w="1778"/>
        <w:gridCol w:w="1542"/>
        <w:gridCol w:w="1371"/>
      </w:tblGrid>
      <w:tr w:rsidR="001B14E6" w:rsidRPr="00843A51" w:rsidTr="001B14E6">
        <w:trPr>
          <w:trHeight w:val="434"/>
        </w:trPr>
        <w:tc>
          <w:tcPr>
            <w:tcW w:w="758" w:type="pct"/>
            <w:vAlign w:val="center"/>
          </w:tcPr>
          <w:p w:rsidR="001B14E6" w:rsidRPr="00843A51" w:rsidRDefault="001B14E6" w:rsidP="001B14E6">
            <w:pPr>
              <w:ind w:firstLineChars="0" w:firstLine="0"/>
              <w:jc w:val="left"/>
              <w:rPr>
                <w:kern w:val="0"/>
              </w:rPr>
            </w:pPr>
            <w:r w:rsidRPr="00843A51">
              <w:rPr>
                <w:rFonts w:hint="eastAsia"/>
                <w:kern w:val="0"/>
              </w:rPr>
              <w:t>分类</w:t>
            </w:r>
          </w:p>
        </w:tc>
        <w:tc>
          <w:tcPr>
            <w:tcW w:w="692" w:type="pct"/>
            <w:vAlign w:val="center"/>
          </w:tcPr>
          <w:p w:rsidR="001B14E6" w:rsidRPr="00843A51" w:rsidRDefault="001B14E6" w:rsidP="001B14E6">
            <w:pPr>
              <w:ind w:firstLineChars="14" w:firstLine="34"/>
              <w:rPr>
                <w:kern w:val="0"/>
              </w:rPr>
            </w:pPr>
            <w:r w:rsidRPr="00843A51">
              <w:rPr>
                <w:rFonts w:hint="eastAsia"/>
                <w:kern w:val="0"/>
              </w:rPr>
              <w:t>重金属元素品种</w:t>
            </w:r>
          </w:p>
        </w:tc>
        <w:tc>
          <w:tcPr>
            <w:tcW w:w="690" w:type="pct"/>
            <w:vAlign w:val="center"/>
          </w:tcPr>
          <w:p w:rsidR="001B14E6" w:rsidRPr="00843A51" w:rsidRDefault="001B14E6" w:rsidP="001B14E6">
            <w:pPr>
              <w:ind w:firstLineChars="0" w:firstLine="0"/>
              <w:rPr>
                <w:kern w:val="0"/>
              </w:rPr>
            </w:pPr>
            <w:r w:rsidRPr="00843A51">
              <w:rPr>
                <w:rFonts w:hint="eastAsia"/>
                <w:kern w:val="0"/>
              </w:rPr>
              <w:t>单位</w:t>
            </w:r>
          </w:p>
        </w:tc>
        <w:tc>
          <w:tcPr>
            <w:tcW w:w="1084" w:type="pct"/>
            <w:vAlign w:val="center"/>
          </w:tcPr>
          <w:p w:rsidR="001B14E6" w:rsidRPr="00843A51" w:rsidRDefault="001B14E6" w:rsidP="001B14E6">
            <w:pPr>
              <w:ind w:firstLineChars="13" w:firstLine="31"/>
              <w:rPr>
                <w:kern w:val="0"/>
              </w:rPr>
            </w:pPr>
            <w:r w:rsidRPr="00843A51">
              <w:rPr>
                <w:rFonts w:hint="eastAsia"/>
                <w:kern w:val="0"/>
              </w:rPr>
              <w:t>绿标指标</w:t>
            </w:r>
          </w:p>
        </w:tc>
        <w:tc>
          <w:tcPr>
            <w:tcW w:w="940" w:type="pct"/>
            <w:vAlign w:val="center"/>
          </w:tcPr>
          <w:p w:rsidR="001B14E6" w:rsidRPr="00843A51" w:rsidRDefault="001B14E6" w:rsidP="001B14E6">
            <w:pPr>
              <w:ind w:firstLineChars="0" w:firstLine="0"/>
              <w:rPr>
                <w:kern w:val="0"/>
              </w:rPr>
            </w:pPr>
            <w:r w:rsidRPr="00843A51">
              <w:rPr>
                <w:rFonts w:hint="eastAsia"/>
                <w:kern w:val="0"/>
              </w:rPr>
              <w:t>欧洲生态标签指标</w:t>
            </w:r>
          </w:p>
        </w:tc>
        <w:tc>
          <w:tcPr>
            <w:tcW w:w="836" w:type="pct"/>
            <w:vAlign w:val="center"/>
          </w:tcPr>
          <w:p w:rsidR="001B14E6" w:rsidRPr="00843A51" w:rsidRDefault="001B14E6" w:rsidP="001B14E6">
            <w:pPr>
              <w:ind w:firstLineChars="0" w:firstLine="0"/>
              <w:rPr>
                <w:kern w:val="0"/>
              </w:rPr>
            </w:pPr>
            <w:r w:rsidRPr="00843A51">
              <w:rPr>
                <w:rFonts w:hint="eastAsia"/>
                <w:kern w:val="0"/>
              </w:rPr>
              <w:t>中国香港</w:t>
            </w:r>
          </w:p>
        </w:tc>
      </w:tr>
      <w:tr w:rsidR="001B14E6" w:rsidRPr="00843A51" w:rsidTr="001B14E6">
        <w:trPr>
          <w:trHeight w:val="434"/>
        </w:trPr>
        <w:tc>
          <w:tcPr>
            <w:tcW w:w="758" w:type="pct"/>
            <w:vMerge w:val="restart"/>
            <w:vAlign w:val="center"/>
          </w:tcPr>
          <w:p w:rsidR="001B14E6" w:rsidRPr="00843A51" w:rsidRDefault="001B14E6" w:rsidP="001B14E6">
            <w:pPr>
              <w:ind w:firstLineChars="0" w:firstLine="0"/>
              <w:rPr>
                <w:kern w:val="0"/>
              </w:rPr>
            </w:pPr>
            <w:r w:rsidRPr="00843A51">
              <w:rPr>
                <w:rFonts w:hint="eastAsia"/>
                <w:kern w:val="0"/>
              </w:rPr>
              <w:t>建筑涂料</w:t>
            </w:r>
          </w:p>
          <w:p w:rsidR="001B14E6" w:rsidRPr="00843A51" w:rsidRDefault="001B14E6" w:rsidP="001B14E6">
            <w:pPr>
              <w:ind w:firstLineChars="0" w:firstLine="0"/>
              <w:rPr>
                <w:kern w:val="0"/>
              </w:rPr>
            </w:pPr>
          </w:p>
        </w:tc>
        <w:tc>
          <w:tcPr>
            <w:tcW w:w="692" w:type="pct"/>
            <w:vAlign w:val="center"/>
          </w:tcPr>
          <w:p w:rsidR="001B14E6" w:rsidRPr="00843A51" w:rsidRDefault="001B14E6" w:rsidP="001B14E6">
            <w:pPr>
              <w:ind w:firstLineChars="14" w:firstLine="34"/>
              <w:jc w:val="left"/>
              <w:rPr>
                <w:kern w:val="0"/>
              </w:rPr>
            </w:pPr>
            <w:r w:rsidRPr="00843A51">
              <w:rPr>
                <w:rFonts w:hint="eastAsia"/>
              </w:rPr>
              <w:t>铅</w:t>
            </w:r>
          </w:p>
        </w:tc>
        <w:tc>
          <w:tcPr>
            <w:tcW w:w="690" w:type="pct"/>
            <w:vAlign w:val="center"/>
          </w:tcPr>
          <w:p w:rsidR="001B14E6" w:rsidRPr="00843A51" w:rsidRDefault="001B14E6" w:rsidP="001B14E6">
            <w:pPr>
              <w:ind w:firstLineChars="13" w:firstLine="31"/>
              <w:rPr>
                <w:kern w:val="0"/>
              </w:rPr>
            </w:pPr>
            <w:r w:rsidRPr="00843A51">
              <w:rPr>
                <w:kern w:val="0"/>
              </w:rPr>
              <w:t>mg/</w:t>
            </w:r>
            <w:r w:rsidRPr="00843A51">
              <w:rPr>
                <w:rFonts w:hint="eastAsia"/>
                <w:kern w:val="0"/>
              </w:rPr>
              <w:t>kg</w:t>
            </w:r>
          </w:p>
        </w:tc>
        <w:tc>
          <w:tcPr>
            <w:tcW w:w="1084" w:type="pct"/>
            <w:vAlign w:val="center"/>
          </w:tcPr>
          <w:p w:rsidR="001B14E6" w:rsidRPr="00843A51" w:rsidRDefault="001B14E6" w:rsidP="001B14E6">
            <w:pPr>
              <w:rPr>
                <w:kern w:val="0"/>
              </w:rPr>
            </w:pPr>
            <w:r w:rsidRPr="00843A51">
              <w:rPr>
                <w:rFonts w:hint="eastAsia"/>
                <w:kern w:val="0"/>
              </w:rPr>
              <w:t>≤20</w:t>
            </w:r>
          </w:p>
        </w:tc>
        <w:tc>
          <w:tcPr>
            <w:tcW w:w="940" w:type="pct"/>
            <w:vAlign w:val="center"/>
          </w:tcPr>
          <w:p w:rsidR="001B14E6" w:rsidRPr="00843A51" w:rsidRDefault="001B14E6" w:rsidP="00BC79AE">
            <w:pPr>
              <w:rPr>
                <w:kern w:val="0"/>
              </w:rPr>
            </w:pPr>
            <w:r w:rsidRPr="00843A51">
              <w:rPr>
                <w:rFonts w:hint="eastAsia"/>
                <w:kern w:val="0"/>
              </w:rPr>
              <w:t>100</w:t>
            </w:r>
          </w:p>
        </w:tc>
        <w:tc>
          <w:tcPr>
            <w:tcW w:w="836" w:type="pct"/>
            <w:vAlign w:val="center"/>
          </w:tcPr>
          <w:p w:rsidR="001B14E6" w:rsidRPr="00843A51" w:rsidRDefault="001B14E6" w:rsidP="00BC79AE">
            <w:pPr>
              <w:rPr>
                <w:kern w:val="0"/>
              </w:rPr>
            </w:pPr>
            <w:r w:rsidRPr="00843A51">
              <w:rPr>
                <w:rFonts w:hint="eastAsia"/>
                <w:kern w:val="0"/>
              </w:rPr>
              <w:t>200</w:t>
            </w:r>
          </w:p>
        </w:tc>
      </w:tr>
      <w:tr w:rsidR="001B14E6" w:rsidRPr="00843A51" w:rsidTr="001B14E6">
        <w:trPr>
          <w:trHeight w:val="434"/>
        </w:trPr>
        <w:tc>
          <w:tcPr>
            <w:tcW w:w="758" w:type="pct"/>
            <w:vMerge/>
            <w:vAlign w:val="center"/>
          </w:tcPr>
          <w:p w:rsidR="001B14E6" w:rsidRPr="00843A51" w:rsidRDefault="001B14E6" w:rsidP="00BC79AE">
            <w:pPr>
              <w:rPr>
                <w:kern w:val="0"/>
              </w:rPr>
            </w:pPr>
          </w:p>
        </w:tc>
        <w:tc>
          <w:tcPr>
            <w:tcW w:w="692" w:type="pct"/>
            <w:vAlign w:val="center"/>
          </w:tcPr>
          <w:p w:rsidR="001B14E6" w:rsidRPr="00843A51" w:rsidRDefault="001B14E6" w:rsidP="001B14E6">
            <w:pPr>
              <w:ind w:firstLineChars="14" w:firstLine="34"/>
              <w:jc w:val="left"/>
              <w:rPr>
                <w:kern w:val="0"/>
              </w:rPr>
            </w:pPr>
            <w:r w:rsidRPr="00843A51">
              <w:rPr>
                <w:rFonts w:hint="eastAsia"/>
              </w:rPr>
              <w:t>镉</w:t>
            </w:r>
          </w:p>
        </w:tc>
        <w:tc>
          <w:tcPr>
            <w:tcW w:w="690" w:type="pct"/>
            <w:vAlign w:val="center"/>
          </w:tcPr>
          <w:p w:rsidR="001B14E6" w:rsidRPr="00843A51" w:rsidRDefault="001B14E6" w:rsidP="001B14E6">
            <w:pPr>
              <w:ind w:firstLineChars="0" w:firstLine="0"/>
              <w:rPr>
                <w:kern w:val="0"/>
              </w:rPr>
            </w:pPr>
            <w:r w:rsidRPr="00843A51">
              <w:rPr>
                <w:kern w:val="0"/>
              </w:rPr>
              <w:t>mg/</w:t>
            </w:r>
            <w:r w:rsidRPr="00843A51">
              <w:rPr>
                <w:rFonts w:hint="eastAsia"/>
                <w:kern w:val="0"/>
              </w:rPr>
              <w:t>kg</w:t>
            </w:r>
          </w:p>
        </w:tc>
        <w:tc>
          <w:tcPr>
            <w:tcW w:w="1084" w:type="pct"/>
            <w:vAlign w:val="center"/>
          </w:tcPr>
          <w:p w:rsidR="001B14E6" w:rsidRPr="00843A51" w:rsidRDefault="001B14E6" w:rsidP="001B14E6">
            <w:pPr>
              <w:rPr>
                <w:kern w:val="0"/>
              </w:rPr>
            </w:pPr>
            <w:r w:rsidRPr="00843A51">
              <w:rPr>
                <w:rFonts w:hint="eastAsia"/>
                <w:kern w:val="0"/>
              </w:rPr>
              <w:t>≤20</w:t>
            </w:r>
          </w:p>
        </w:tc>
        <w:tc>
          <w:tcPr>
            <w:tcW w:w="940" w:type="pct"/>
            <w:vAlign w:val="center"/>
          </w:tcPr>
          <w:p w:rsidR="001B14E6" w:rsidRPr="00843A51" w:rsidRDefault="001B14E6" w:rsidP="00BC79AE">
            <w:pPr>
              <w:rPr>
                <w:kern w:val="0"/>
              </w:rPr>
            </w:pPr>
            <w:r w:rsidRPr="00843A51">
              <w:rPr>
                <w:rFonts w:hint="eastAsia"/>
                <w:kern w:val="0"/>
              </w:rPr>
              <w:t>100</w:t>
            </w:r>
          </w:p>
        </w:tc>
        <w:tc>
          <w:tcPr>
            <w:tcW w:w="836" w:type="pct"/>
            <w:vAlign w:val="center"/>
          </w:tcPr>
          <w:p w:rsidR="001B14E6" w:rsidRPr="00843A51" w:rsidRDefault="001B14E6" w:rsidP="00BC79AE">
            <w:pPr>
              <w:rPr>
                <w:kern w:val="0"/>
              </w:rPr>
            </w:pPr>
            <w:r w:rsidRPr="00843A51">
              <w:rPr>
                <w:rFonts w:hint="eastAsia"/>
                <w:kern w:val="0"/>
              </w:rPr>
              <w:t>100</w:t>
            </w:r>
          </w:p>
        </w:tc>
      </w:tr>
      <w:tr w:rsidR="001B14E6" w:rsidRPr="00843A51" w:rsidTr="001B14E6">
        <w:trPr>
          <w:trHeight w:val="434"/>
        </w:trPr>
        <w:tc>
          <w:tcPr>
            <w:tcW w:w="758" w:type="pct"/>
            <w:vMerge/>
            <w:vAlign w:val="center"/>
          </w:tcPr>
          <w:p w:rsidR="001B14E6" w:rsidRPr="00843A51" w:rsidRDefault="001B14E6" w:rsidP="00BC79AE">
            <w:pPr>
              <w:rPr>
                <w:kern w:val="0"/>
              </w:rPr>
            </w:pPr>
          </w:p>
        </w:tc>
        <w:tc>
          <w:tcPr>
            <w:tcW w:w="692" w:type="pct"/>
            <w:vAlign w:val="center"/>
          </w:tcPr>
          <w:p w:rsidR="001B14E6" w:rsidRPr="00843A51" w:rsidRDefault="001B14E6" w:rsidP="001B14E6">
            <w:pPr>
              <w:ind w:firstLineChars="14" w:firstLine="34"/>
              <w:jc w:val="left"/>
              <w:rPr>
                <w:kern w:val="0"/>
              </w:rPr>
            </w:pPr>
            <w:r w:rsidRPr="00843A51">
              <w:rPr>
                <w:rFonts w:hint="eastAsia"/>
              </w:rPr>
              <w:t>六价铬</w:t>
            </w:r>
          </w:p>
        </w:tc>
        <w:tc>
          <w:tcPr>
            <w:tcW w:w="690" w:type="pct"/>
            <w:vAlign w:val="center"/>
          </w:tcPr>
          <w:p w:rsidR="001B14E6" w:rsidRPr="00843A51" w:rsidRDefault="001B14E6" w:rsidP="001B14E6">
            <w:pPr>
              <w:ind w:firstLineChars="0" w:firstLine="0"/>
              <w:rPr>
                <w:kern w:val="0"/>
              </w:rPr>
            </w:pPr>
            <w:r w:rsidRPr="00843A51">
              <w:rPr>
                <w:kern w:val="0"/>
              </w:rPr>
              <w:t>mg/</w:t>
            </w:r>
            <w:r w:rsidRPr="00843A51">
              <w:rPr>
                <w:rFonts w:hint="eastAsia"/>
                <w:kern w:val="0"/>
              </w:rPr>
              <w:t>kg</w:t>
            </w:r>
          </w:p>
        </w:tc>
        <w:tc>
          <w:tcPr>
            <w:tcW w:w="1084" w:type="pct"/>
            <w:vAlign w:val="center"/>
          </w:tcPr>
          <w:p w:rsidR="001B14E6" w:rsidRPr="00843A51" w:rsidRDefault="001B14E6" w:rsidP="001B14E6">
            <w:pPr>
              <w:rPr>
                <w:kern w:val="0"/>
              </w:rPr>
            </w:pPr>
            <w:r w:rsidRPr="00843A51">
              <w:rPr>
                <w:rFonts w:hint="eastAsia"/>
                <w:kern w:val="0"/>
              </w:rPr>
              <w:t>≤20</w:t>
            </w:r>
          </w:p>
        </w:tc>
        <w:tc>
          <w:tcPr>
            <w:tcW w:w="940" w:type="pct"/>
            <w:vAlign w:val="center"/>
          </w:tcPr>
          <w:p w:rsidR="001B14E6" w:rsidRPr="00843A51" w:rsidRDefault="001B14E6" w:rsidP="00BC79AE">
            <w:pPr>
              <w:rPr>
                <w:kern w:val="0"/>
              </w:rPr>
            </w:pPr>
            <w:r w:rsidRPr="00843A51">
              <w:rPr>
                <w:rFonts w:hint="eastAsia"/>
                <w:kern w:val="0"/>
              </w:rPr>
              <w:t>100</w:t>
            </w:r>
          </w:p>
        </w:tc>
        <w:tc>
          <w:tcPr>
            <w:tcW w:w="836" w:type="pct"/>
            <w:vAlign w:val="center"/>
          </w:tcPr>
          <w:p w:rsidR="001B14E6" w:rsidRPr="00843A51" w:rsidRDefault="001B14E6" w:rsidP="00BC79AE">
            <w:pPr>
              <w:rPr>
                <w:kern w:val="0"/>
              </w:rPr>
            </w:pPr>
            <w:r w:rsidRPr="00843A51">
              <w:rPr>
                <w:rFonts w:hint="eastAsia"/>
                <w:kern w:val="0"/>
              </w:rPr>
              <w:t>200</w:t>
            </w:r>
          </w:p>
        </w:tc>
      </w:tr>
      <w:tr w:rsidR="001B14E6" w:rsidRPr="00843A51" w:rsidTr="001B14E6">
        <w:trPr>
          <w:trHeight w:val="434"/>
        </w:trPr>
        <w:tc>
          <w:tcPr>
            <w:tcW w:w="758" w:type="pct"/>
            <w:vMerge/>
            <w:vAlign w:val="center"/>
          </w:tcPr>
          <w:p w:rsidR="001B14E6" w:rsidRPr="00843A51" w:rsidRDefault="001B14E6" w:rsidP="00BC79AE">
            <w:pPr>
              <w:rPr>
                <w:kern w:val="0"/>
              </w:rPr>
            </w:pPr>
          </w:p>
        </w:tc>
        <w:tc>
          <w:tcPr>
            <w:tcW w:w="692" w:type="pct"/>
            <w:vAlign w:val="center"/>
          </w:tcPr>
          <w:p w:rsidR="001B14E6" w:rsidRPr="00843A51" w:rsidRDefault="001B14E6" w:rsidP="001B14E6">
            <w:pPr>
              <w:ind w:firstLineChars="14" w:firstLine="34"/>
              <w:jc w:val="left"/>
              <w:rPr>
                <w:kern w:val="0"/>
              </w:rPr>
            </w:pPr>
            <w:r w:rsidRPr="00843A51">
              <w:rPr>
                <w:rFonts w:hint="eastAsia"/>
              </w:rPr>
              <w:t>汞</w:t>
            </w:r>
          </w:p>
        </w:tc>
        <w:tc>
          <w:tcPr>
            <w:tcW w:w="690" w:type="pct"/>
            <w:vAlign w:val="center"/>
          </w:tcPr>
          <w:p w:rsidR="001B14E6" w:rsidRPr="00843A51" w:rsidRDefault="001B14E6" w:rsidP="001B14E6">
            <w:pPr>
              <w:ind w:firstLineChars="0" w:firstLine="0"/>
              <w:rPr>
                <w:kern w:val="0"/>
              </w:rPr>
            </w:pPr>
            <w:r w:rsidRPr="00843A51">
              <w:rPr>
                <w:kern w:val="0"/>
              </w:rPr>
              <w:t>mg/</w:t>
            </w:r>
            <w:r w:rsidRPr="00843A51">
              <w:rPr>
                <w:rFonts w:hint="eastAsia"/>
                <w:kern w:val="0"/>
              </w:rPr>
              <w:t>kg</w:t>
            </w:r>
          </w:p>
        </w:tc>
        <w:tc>
          <w:tcPr>
            <w:tcW w:w="1084" w:type="pct"/>
            <w:vAlign w:val="center"/>
          </w:tcPr>
          <w:p w:rsidR="001B14E6" w:rsidRPr="00843A51" w:rsidRDefault="001B14E6" w:rsidP="001B14E6">
            <w:pPr>
              <w:rPr>
                <w:kern w:val="0"/>
              </w:rPr>
            </w:pPr>
            <w:r w:rsidRPr="00843A51">
              <w:rPr>
                <w:rFonts w:hint="eastAsia"/>
                <w:kern w:val="0"/>
              </w:rPr>
              <w:t>≤20</w:t>
            </w:r>
          </w:p>
        </w:tc>
        <w:tc>
          <w:tcPr>
            <w:tcW w:w="940" w:type="pct"/>
            <w:vAlign w:val="center"/>
          </w:tcPr>
          <w:p w:rsidR="001B14E6" w:rsidRPr="00843A51" w:rsidRDefault="001B14E6" w:rsidP="00BC79AE">
            <w:pPr>
              <w:rPr>
                <w:kern w:val="0"/>
              </w:rPr>
            </w:pPr>
            <w:r w:rsidRPr="00843A51">
              <w:rPr>
                <w:rFonts w:hint="eastAsia"/>
                <w:kern w:val="0"/>
              </w:rPr>
              <w:t>100</w:t>
            </w:r>
          </w:p>
        </w:tc>
        <w:tc>
          <w:tcPr>
            <w:tcW w:w="836" w:type="pct"/>
            <w:vAlign w:val="center"/>
          </w:tcPr>
          <w:p w:rsidR="001B14E6" w:rsidRPr="00843A51" w:rsidRDefault="001B14E6" w:rsidP="00BC79AE">
            <w:pPr>
              <w:rPr>
                <w:kern w:val="0"/>
              </w:rPr>
            </w:pPr>
            <w:r w:rsidRPr="00843A51">
              <w:rPr>
                <w:rFonts w:hint="eastAsia"/>
                <w:kern w:val="0"/>
              </w:rPr>
              <w:t>200</w:t>
            </w:r>
          </w:p>
        </w:tc>
      </w:tr>
      <w:tr w:rsidR="001B14E6" w:rsidRPr="00843A51" w:rsidTr="001B14E6">
        <w:trPr>
          <w:trHeight w:val="434"/>
        </w:trPr>
        <w:tc>
          <w:tcPr>
            <w:tcW w:w="758" w:type="pct"/>
            <w:vMerge/>
            <w:vAlign w:val="center"/>
          </w:tcPr>
          <w:p w:rsidR="001B14E6" w:rsidRPr="00843A51" w:rsidRDefault="001B14E6" w:rsidP="00BC79AE">
            <w:pPr>
              <w:rPr>
                <w:kern w:val="0"/>
              </w:rPr>
            </w:pPr>
          </w:p>
        </w:tc>
        <w:tc>
          <w:tcPr>
            <w:tcW w:w="692" w:type="pct"/>
            <w:vAlign w:val="center"/>
          </w:tcPr>
          <w:p w:rsidR="001B14E6" w:rsidRPr="00843A51" w:rsidRDefault="001B14E6" w:rsidP="001B14E6">
            <w:pPr>
              <w:ind w:firstLineChars="14" w:firstLine="34"/>
              <w:jc w:val="left"/>
              <w:rPr>
                <w:kern w:val="0"/>
              </w:rPr>
            </w:pPr>
            <w:r w:rsidRPr="00843A51">
              <w:rPr>
                <w:rFonts w:hint="eastAsia"/>
              </w:rPr>
              <w:t>砷</w:t>
            </w:r>
          </w:p>
        </w:tc>
        <w:tc>
          <w:tcPr>
            <w:tcW w:w="690" w:type="pct"/>
            <w:vAlign w:val="center"/>
          </w:tcPr>
          <w:p w:rsidR="001B14E6" w:rsidRPr="00843A51" w:rsidRDefault="001B14E6" w:rsidP="001B14E6">
            <w:pPr>
              <w:ind w:firstLineChars="0" w:firstLine="0"/>
              <w:rPr>
                <w:kern w:val="0"/>
              </w:rPr>
            </w:pPr>
            <w:r w:rsidRPr="00843A51">
              <w:rPr>
                <w:kern w:val="0"/>
              </w:rPr>
              <w:t>mg/</w:t>
            </w:r>
            <w:r w:rsidRPr="00843A51">
              <w:rPr>
                <w:rFonts w:hint="eastAsia"/>
                <w:kern w:val="0"/>
              </w:rPr>
              <w:t>kg</w:t>
            </w:r>
          </w:p>
        </w:tc>
        <w:tc>
          <w:tcPr>
            <w:tcW w:w="1084" w:type="pct"/>
            <w:vAlign w:val="center"/>
          </w:tcPr>
          <w:p w:rsidR="001B14E6" w:rsidRPr="00843A51" w:rsidRDefault="001B14E6" w:rsidP="001B14E6">
            <w:pPr>
              <w:rPr>
                <w:kern w:val="0"/>
              </w:rPr>
            </w:pPr>
            <w:r w:rsidRPr="00843A51">
              <w:rPr>
                <w:rFonts w:hint="eastAsia"/>
                <w:kern w:val="0"/>
              </w:rPr>
              <w:t>≤20</w:t>
            </w:r>
          </w:p>
        </w:tc>
        <w:tc>
          <w:tcPr>
            <w:tcW w:w="940" w:type="pct"/>
            <w:vAlign w:val="center"/>
          </w:tcPr>
          <w:p w:rsidR="001B14E6" w:rsidRPr="00843A51" w:rsidRDefault="001B14E6" w:rsidP="00BC79AE">
            <w:pPr>
              <w:rPr>
                <w:kern w:val="0"/>
              </w:rPr>
            </w:pPr>
            <w:r w:rsidRPr="00843A51">
              <w:rPr>
                <w:rFonts w:hint="eastAsia"/>
                <w:kern w:val="0"/>
              </w:rPr>
              <w:t>100</w:t>
            </w:r>
          </w:p>
        </w:tc>
        <w:tc>
          <w:tcPr>
            <w:tcW w:w="836" w:type="pct"/>
            <w:vMerge w:val="restart"/>
            <w:vAlign w:val="center"/>
          </w:tcPr>
          <w:p w:rsidR="001B14E6" w:rsidRPr="00843A51" w:rsidRDefault="001B14E6" w:rsidP="00BC79AE">
            <w:pPr>
              <w:rPr>
                <w:kern w:val="0"/>
              </w:rPr>
            </w:pPr>
            <w:r w:rsidRPr="00843A51">
              <w:rPr>
                <w:rFonts w:hint="eastAsia"/>
                <w:kern w:val="0"/>
              </w:rPr>
              <w:t>—</w:t>
            </w:r>
          </w:p>
        </w:tc>
      </w:tr>
      <w:tr w:rsidR="001B14E6" w:rsidRPr="00843A51" w:rsidTr="001B14E6">
        <w:trPr>
          <w:trHeight w:val="434"/>
        </w:trPr>
        <w:tc>
          <w:tcPr>
            <w:tcW w:w="758" w:type="pct"/>
            <w:vMerge/>
            <w:vAlign w:val="center"/>
          </w:tcPr>
          <w:p w:rsidR="001B14E6" w:rsidRPr="00843A51" w:rsidRDefault="001B14E6" w:rsidP="00BC79AE">
            <w:pPr>
              <w:rPr>
                <w:kern w:val="0"/>
              </w:rPr>
            </w:pPr>
          </w:p>
        </w:tc>
        <w:tc>
          <w:tcPr>
            <w:tcW w:w="692" w:type="pct"/>
            <w:vAlign w:val="center"/>
          </w:tcPr>
          <w:p w:rsidR="001B14E6" w:rsidRPr="00843A51" w:rsidRDefault="001B14E6" w:rsidP="001B14E6">
            <w:pPr>
              <w:ind w:firstLineChars="14" w:firstLine="34"/>
              <w:jc w:val="left"/>
              <w:rPr>
                <w:kern w:val="0"/>
              </w:rPr>
            </w:pPr>
            <w:r w:rsidRPr="00843A51">
              <w:rPr>
                <w:rFonts w:hint="eastAsia"/>
              </w:rPr>
              <w:t>钡</w:t>
            </w:r>
          </w:p>
        </w:tc>
        <w:tc>
          <w:tcPr>
            <w:tcW w:w="690" w:type="pct"/>
            <w:vAlign w:val="center"/>
          </w:tcPr>
          <w:p w:rsidR="001B14E6" w:rsidRPr="00843A51" w:rsidRDefault="001B14E6" w:rsidP="001B14E6">
            <w:pPr>
              <w:ind w:firstLineChars="0" w:firstLine="0"/>
              <w:rPr>
                <w:kern w:val="0"/>
              </w:rPr>
            </w:pPr>
            <w:r w:rsidRPr="00843A51">
              <w:rPr>
                <w:kern w:val="0"/>
              </w:rPr>
              <w:t>mg/</w:t>
            </w:r>
            <w:r w:rsidRPr="00843A51">
              <w:rPr>
                <w:rFonts w:hint="eastAsia"/>
                <w:kern w:val="0"/>
              </w:rPr>
              <w:t>kg</w:t>
            </w:r>
          </w:p>
        </w:tc>
        <w:tc>
          <w:tcPr>
            <w:tcW w:w="1084" w:type="pct"/>
            <w:vAlign w:val="center"/>
          </w:tcPr>
          <w:p w:rsidR="001B14E6" w:rsidRPr="00843A51" w:rsidRDefault="001B14E6" w:rsidP="00C43FE8">
            <w:pPr>
              <w:rPr>
                <w:kern w:val="0"/>
              </w:rPr>
            </w:pPr>
            <w:r w:rsidRPr="00843A51">
              <w:rPr>
                <w:rFonts w:hint="eastAsia"/>
                <w:kern w:val="0"/>
              </w:rPr>
              <w:t>≤100</w:t>
            </w:r>
          </w:p>
        </w:tc>
        <w:tc>
          <w:tcPr>
            <w:tcW w:w="940" w:type="pct"/>
            <w:vAlign w:val="center"/>
          </w:tcPr>
          <w:p w:rsidR="001B14E6" w:rsidRPr="00843A51" w:rsidRDefault="001B14E6" w:rsidP="00BC79AE">
            <w:pPr>
              <w:rPr>
                <w:kern w:val="0"/>
              </w:rPr>
            </w:pPr>
            <w:r w:rsidRPr="00843A51">
              <w:rPr>
                <w:rFonts w:hint="eastAsia"/>
                <w:kern w:val="0"/>
              </w:rPr>
              <w:t>100</w:t>
            </w:r>
          </w:p>
        </w:tc>
        <w:tc>
          <w:tcPr>
            <w:tcW w:w="836" w:type="pct"/>
            <w:vMerge/>
            <w:vAlign w:val="center"/>
          </w:tcPr>
          <w:p w:rsidR="001B14E6" w:rsidRPr="00843A51" w:rsidRDefault="001B14E6" w:rsidP="00BC79AE">
            <w:pPr>
              <w:rPr>
                <w:kern w:val="0"/>
              </w:rPr>
            </w:pPr>
          </w:p>
        </w:tc>
      </w:tr>
      <w:tr w:rsidR="001B14E6" w:rsidRPr="00843A51" w:rsidTr="001B14E6">
        <w:trPr>
          <w:trHeight w:val="434"/>
        </w:trPr>
        <w:tc>
          <w:tcPr>
            <w:tcW w:w="758" w:type="pct"/>
            <w:vMerge/>
            <w:vAlign w:val="center"/>
          </w:tcPr>
          <w:p w:rsidR="001B14E6" w:rsidRPr="00843A51" w:rsidRDefault="001B14E6" w:rsidP="00BC79AE">
            <w:pPr>
              <w:rPr>
                <w:kern w:val="0"/>
              </w:rPr>
            </w:pPr>
          </w:p>
        </w:tc>
        <w:tc>
          <w:tcPr>
            <w:tcW w:w="692" w:type="pct"/>
            <w:vAlign w:val="center"/>
          </w:tcPr>
          <w:p w:rsidR="001B14E6" w:rsidRPr="00843A51" w:rsidRDefault="001B14E6" w:rsidP="001B14E6">
            <w:pPr>
              <w:ind w:firstLineChars="14" w:firstLine="34"/>
              <w:jc w:val="left"/>
              <w:rPr>
                <w:kern w:val="0"/>
              </w:rPr>
            </w:pPr>
            <w:r w:rsidRPr="00843A51">
              <w:rPr>
                <w:rFonts w:hint="eastAsia"/>
              </w:rPr>
              <w:t>硒</w:t>
            </w:r>
          </w:p>
        </w:tc>
        <w:tc>
          <w:tcPr>
            <w:tcW w:w="690" w:type="pct"/>
            <w:vAlign w:val="center"/>
          </w:tcPr>
          <w:p w:rsidR="001B14E6" w:rsidRPr="00843A51" w:rsidRDefault="001B14E6" w:rsidP="001B14E6">
            <w:pPr>
              <w:ind w:firstLineChars="0" w:firstLine="0"/>
              <w:rPr>
                <w:kern w:val="0"/>
              </w:rPr>
            </w:pPr>
            <w:r w:rsidRPr="00843A51">
              <w:rPr>
                <w:kern w:val="0"/>
              </w:rPr>
              <w:t>mg/</w:t>
            </w:r>
            <w:r w:rsidRPr="00843A51">
              <w:rPr>
                <w:rFonts w:hint="eastAsia"/>
                <w:kern w:val="0"/>
              </w:rPr>
              <w:t>kg</w:t>
            </w:r>
          </w:p>
        </w:tc>
        <w:tc>
          <w:tcPr>
            <w:tcW w:w="1084" w:type="pct"/>
            <w:vAlign w:val="center"/>
          </w:tcPr>
          <w:p w:rsidR="001B14E6" w:rsidRPr="00843A51" w:rsidRDefault="001B14E6" w:rsidP="001B14E6">
            <w:pPr>
              <w:rPr>
                <w:kern w:val="0"/>
              </w:rPr>
            </w:pPr>
            <w:r w:rsidRPr="00843A51">
              <w:rPr>
                <w:rFonts w:hint="eastAsia"/>
                <w:kern w:val="0"/>
              </w:rPr>
              <w:t>≤20</w:t>
            </w:r>
          </w:p>
        </w:tc>
        <w:tc>
          <w:tcPr>
            <w:tcW w:w="940" w:type="pct"/>
            <w:vAlign w:val="center"/>
          </w:tcPr>
          <w:p w:rsidR="001B14E6" w:rsidRPr="00843A51" w:rsidRDefault="001B14E6" w:rsidP="00BC79AE">
            <w:pPr>
              <w:rPr>
                <w:kern w:val="0"/>
              </w:rPr>
            </w:pPr>
            <w:r w:rsidRPr="00843A51">
              <w:rPr>
                <w:rFonts w:hint="eastAsia"/>
                <w:kern w:val="0"/>
              </w:rPr>
              <w:t>100</w:t>
            </w:r>
          </w:p>
        </w:tc>
        <w:tc>
          <w:tcPr>
            <w:tcW w:w="836" w:type="pct"/>
            <w:vMerge/>
            <w:vAlign w:val="center"/>
          </w:tcPr>
          <w:p w:rsidR="001B14E6" w:rsidRPr="00843A51" w:rsidRDefault="001B14E6" w:rsidP="00BC79AE">
            <w:pPr>
              <w:rPr>
                <w:kern w:val="0"/>
              </w:rPr>
            </w:pPr>
          </w:p>
        </w:tc>
      </w:tr>
      <w:tr w:rsidR="001B14E6" w:rsidRPr="00843A51" w:rsidTr="001B14E6">
        <w:trPr>
          <w:trHeight w:val="434"/>
        </w:trPr>
        <w:tc>
          <w:tcPr>
            <w:tcW w:w="758" w:type="pct"/>
            <w:vMerge/>
            <w:vAlign w:val="center"/>
          </w:tcPr>
          <w:p w:rsidR="001B14E6" w:rsidRPr="00843A51" w:rsidRDefault="001B14E6" w:rsidP="00BC79AE">
            <w:pPr>
              <w:rPr>
                <w:kern w:val="0"/>
              </w:rPr>
            </w:pPr>
          </w:p>
        </w:tc>
        <w:tc>
          <w:tcPr>
            <w:tcW w:w="692" w:type="pct"/>
            <w:vAlign w:val="center"/>
          </w:tcPr>
          <w:p w:rsidR="001B14E6" w:rsidRPr="00843A51" w:rsidRDefault="001B14E6" w:rsidP="001B14E6">
            <w:pPr>
              <w:ind w:firstLineChars="14" w:firstLine="34"/>
              <w:jc w:val="left"/>
              <w:rPr>
                <w:kern w:val="0"/>
              </w:rPr>
            </w:pPr>
            <w:r w:rsidRPr="00843A51">
              <w:rPr>
                <w:rFonts w:hint="eastAsia"/>
              </w:rPr>
              <w:t>锑</w:t>
            </w:r>
          </w:p>
        </w:tc>
        <w:tc>
          <w:tcPr>
            <w:tcW w:w="690" w:type="pct"/>
            <w:vAlign w:val="center"/>
          </w:tcPr>
          <w:p w:rsidR="001B14E6" w:rsidRPr="00843A51" w:rsidRDefault="001B14E6" w:rsidP="001B14E6">
            <w:pPr>
              <w:ind w:firstLineChars="0" w:firstLine="0"/>
              <w:rPr>
                <w:kern w:val="0"/>
              </w:rPr>
            </w:pPr>
            <w:r w:rsidRPr="00843A51">
              <w:rPr>
                <w:kern w:val="0"/>
              </w:rPr>
              <w:t>mg/</w:t>
            </w:r>
            <w:r w:rsidRPr="00843A51">
              <w:rPr>
                <w:rFonts w:hint="eastAsia"/>
                <w:kern w:val="0"/>
              </w:rPr>
              <w:t>kg</w:t>
            </w:r>
          </w:p>
        </w:tc>
        <w:tc>
          <w:tcPr>
            <w:tcW w:w="1084" w:type="pct"/>
            <w:vAlign w:val="center"/>
          </w:tcPr>
          <w:p w:rsidR="001B14E6" w:rsidRPr="00843A51" w:rsidRDefault="001B14E6" w:rsidP="001B14E6">
            <w:pPr>
              <w:rPr>
                <w:kern w:val="0"/>
              </w:rPr>
            </w:pPr>
            <w:r w:rsidRPr="00843A51">
              <w:rPr>
                <w:rFonts w:hint="eastAsia"/>
                <w:kern w:val="0"/>
              </w:rPr>
              <w:t>≤20</w:t>
            </w:r>
          </w:p>
        </w:tc>
        <w:tc>
          <w:tcPr>
            <w:tcW w:w="940" w:type="pct"/>
            <w:vAlign w:val="center"/>
          </w:tcPr>
          <w:p w:rsidR="001B14E6" w:rsidRPr="00843A51" w:rsidRDefault="001B14E6" w:rsidP="00BC79AE">
            <w:pPr>
              <w:rPr>
                <w:kern w:val="0"/>
              </w:rPr>
            </w:pPr>
            <w:r w:rsidRPr="00843A51">
              <w:rPr>
                <w:rFonts w:hint="eastAsia"/>
                <w:kern w:val="0"/>
              </w:rPr>
              <w:t>100</w:t>
            </w:r>
          </w:p>
        </w:tc>
        <w:tc>
          <w:tcPr>
            <w:tcW w:w="836" w:type="pct"/>
            <w:vMerge/>
            <w:vAlign w:val="center"/>
          </w:tcPr>
          <w:p w:rsidR="001B14E6" w:rsidRPr="00843A51" w:rsidRDefault="001B14E6" w:rsidP="00BC79AE">
            <w:pPr>
              <w:rPr>
                <w:kern w:val="0"/>
              </w:rPr>
            </w:pPr>
          </w:p>
        </w:tc>
      </w:tr>
      <w:tr w:rsidR="001B14E6" w:rsidRPr="00843A51" w:rsidTr="001B14E6">
        <w:trPr>
          <w:trHeight w:val="434"/>
        </w:trPr>
        <w:tc>
          <w:tcPr>
            <w:tcW w:w="758" w:type="pct"/>
            <w:vMerge/>
            <w:vAlign w:val="center"/>
          </w:tcPr>
          <w:p w:rsidR="001B14E6" w:rsidRPr="00843A51" w:rsidRDefault="001B14E6" w:rsidP="00BC79AE">
            <w:pPr>
              <w:rPr>
                <w:kern w:val="0"/>
              </w:rPr>
            </w:pPr>
          </w:p>
        </w:tc>
        <w:tc>
          <w:tcPr>
            <w:tcW w:w="692" w:type="pct"/>
            <w:vAlign w:val="center"/>
          </w:tcPr>
          <w:p w:rsidR="001B14E6" w:rsidRPr="00843A51" w:rsidRDefault="001B14E6" w:rsidP="001B14E6">
            <w:pPr>
              <w:ind w:firstLineChars="14" w:firstLine="34"/>
              <w:jc w:val="left"/>
            </w:pPr>
            <w:r w:rsidRPr="00843A51">
              <w:rPr>
                <w:rFonts w:hint="eastAsia"/>
              </w:rPr>
              <w:t>钴</w:t>
            </w:r>
          </w:p>
        </w:tc>
        <w:tc>
          <w:tcPr>
            <w:tcW w:w="690" w:type="pct"/>
            <w:vAlign w:val="center"/>
          </w:tcPr>
          <w:p w:rsidR="001B14E6" w:rsidRPr="00843A51" w:rsidRDefault="001B14E6" w:rsidP="001B14E6">
            <w:pPr>
              <w:ind w:firstLineChars="0" w:firstLine="0"/>
              <w:rPr>
                <w:kern w:val="0"/>
              </w:rPr>
            </w:pPr>
            <w:r w:rsidRPr="00843A51">
              <w:rPr>
                <w:kern w:val="0"/>
              </w:rPr>
              <w:t>mg/</w:t>
            </w:r>
            <w:r w:rsidRPr="00843A51">
              <w:rPr>
                <w:rFonts w:hint="eastAsia"/>
                <w:kern w:val="0"/>
              </w:rPr>
              <w:t>kg</w:t>
            </w:r>
          </w:p>
        </w:tc>
        <w:tc>
          <w:tcPr>
            <w:tcW w:w="1084" w:type="pct"/>
            <w:vAlign w:val="center"/>
          </w:tcPr>
          <w:p w:rsidR="001B14E6" w:rsidRPr="00843A51" w:rsidRDefault="001B14E6" w:rsidP="001B14E6">
            <w:pPr>
              <w:rPr>
                <w:kern w:val="0"/>
              </w:rPr>
            </w:pPr>
            <w:r w:rsidRPr="00843A51">
              <w:rPr>
                <w:rFonts w:hint="eastAsia"/>
                <w:kern w:val="0"/>
              </w:rPr>
              <w:t>≤20</w:t>
            </w:r>
          </w:p>
        </w:tc>
        <w:tc>
          <w:tcPr>
            <w:tcW w:w="940" w:type="pct"/>
            <w:vAlign w:val="center"/>
          </w:tcPr>
          <w:p w:rsidR="001B14E6" w:rsidRPr="00843A51" w:rsidRDefault="001B14E6" w:rsidP="00BC79AE">
            <w:pPr>
              <w:rPr>
                <w:kern w:val="0"/>
              </w:rPr>
            </w:pPr>
            <w:r w:rsidRPr="00843A51">
              <w:rPr>
                <w:rFonts w:hint="eastAsia"/>
                <w:kern w:val="0"/>
              </w:rPr>
              <w:t>100</w:t>
            </w:r>
          </w:p>
        </w:tc>
        <w:tc>
          <w:tcPr>
            <w:tcW w:w="836" w:type="pct"/>
            <w:vMerge/>
            <w:vAlign w:val="center"/>
          </w:tcPr>
          <w:p w:rsidR="001B14E6" w:rsidRPr="00843A51" w:rsidRDefault="001B14E6" w:rsidP="00BC79AE">
            <w:pPr>
              <w:rPr>
                <w:kern w:val="0"/>
              </w:rPr>
            </w:pPr>
          </w:p>
        </w:tc>
      </w:tr>
    </w:tbl>
    <w:p w:rsidR="000E7790" w:rsidRPr="00F93757" w:rsidRDefault="00DB1652" w:rsidP="002C78E7">
      <w:pPr>
        <w:pStyle w:val="20"/>
        <w:numPr>
          <w:ilvl w:val="0"/>
          <w:numId w:val="6"/>
        </w:numPr>
        <w:ind w:leftChars="0" w:left="0" w:firstLineChars="177" w:firstLine="425"/>
        <w:rPr>
          <w:rFonts w:asciiTheme="minorEastAsia" w:hAnsiTheme="minorEastAsia"/>
        </w:rPr>
      </w:pPr>
      <w:r w:rsidRPr="00F93757">
        <w:rPr>
          <w:rFonts w:hint="eastAsia"/>
        </w:rPr>
        <w:t>生物杀</w:t>
      </w:r>
      <w:r w:rsidR="003134BA" w:rsidRPr="00F93757">
        <w:rPr>
          <w:rFonts w:hint="eastAsia"/>
        </w:rPr>
        <w:t>伤</w:t>
      </w:r>
      <w:r w:rsidRPr="00F93757">
        <w:rPr>
          <w:rFonts w:hint="eastAsia"/>
        </w:rPr>
        <w:t>剂</w:t>
      </w:r>
    </w:p>
    <w:p w:rsidR="0094748A" w:rsidRDefault="0094748A" w:rsidP="00BC79AE">
      <w:r>
        <w:rPr>
          <w:rFonts w:hint="eastAsia"/>
        </w:rPr>
        <w:t>异噻唑啉酮类杀菌剂</w:t>
      </w:r>
      <w:r>
        <w:t>是目前在涂料中使用最广泛的杀菌剂</w:t>
      </w:r>
      <w:r>
        <w:rPr>
          <w:rFonts w:hint="eastAsia"/>
        </w:rPr>
        <w:t>，</w:t>
      </w:r>
      <w:r>
        <w:t>其共同特点是都有异噻唑啉酮五元环，</w:t>
      </w:r>
      <w:r>
        <w:rPr>
          <w:rFonts w:hint="eastAsia"/>
        </w:rPr>
        <w:t>通过-</w:t>
      </w:r>
      <w:r>
        <w:t>N-S-键</w:t>
      </w:r>
      <w:r>
        <w:rPr>
          <w:rFonts w:hint="eastAsia"/>
        </w:rPr>
        <w:t>断裂</w:t>
      </w:r>
      <w:r>
        <w:t>和生物体中-SH反应</w:t>
      </w:r>
      <w:r>
        <w:rPr>
          <w:rFonts w:hint="eastAsia"/>
        </w:rPr>
        <w:t>而</w:t>
      </w:r>
      <w:r>
        <w:t>起到杀菌、抑菌的作用</w:t>
      </w:r>
      <w:r>
        <w:rPr>
          <w:rFonts w:hint="eastAsia"/>
        </w:rPr>
        <w:t>。</w:t>
      </w:r>
      <w:r w:rsidR="00092414">
        <w:rPr>
          <w:rFonts w:hint="eastAsia"/>
        </w:rPr>
        <w:t>无机干粉类装饰壁材一样需要加入干膜防霉剂及粉体杀菌剂。目前应用中</w:t>
      </w:r>
      <w:r>
        <w:t>最常见的</w:t>
      </w:r>
      <w:r>
        <w:rPr>
          <w:rFonts w:hint="eastAsia"/>
        </w:rPr>
        <w:t>异噻唑啉酮</w:t>
      </w:r>
      <w:r>
        <w:t>衍生物杀菌剂是CMIT</w:t>
      </w:r>
      <w:r>
        <w:rPr>
          <w:rFonts w:hint="eastAsia"/>
        </w:rPr>
        <w:t>、</w:t>
      </w:r>
      <w:r>
        <w:t>MIT</w:t>
      </w:r>
      <w:r>
        <w:rPr>
          <w:rFonts w:hint="eastAsia"/>
        </w:rPr>
        <w:t>、</w:t>
      </w:r>
      <w:r>
        <w:t>BIT</w:t>
      </w:r>
      <w:r>
        <w:rPr>
          <w:rFonts w:hint="eastAsia"/>
        </w:rPr>
        <w:t>、</w:t>
      </w:r>
      <w:r>
        <w:t>OIT</w:t>
      </w:r>
      <w:r>
        <w:rPr>
          <w:rFonts w:hint="eastAsia"/>
        </w:rPr>
        <w:t>、</w:t>
      </w:r>
      <w:r>
        <w:t>DCOIT</w:t>
      </w:r>
      <w:r>
        <w:rPr>
          <w:rFonts w:hint="eastAsia"/>
        </w:rPr>
        <w:t>，</w:t>
      </w:r>
      <w:r>
        <w:t>因其分子结构的差异，表现</w:t>
      </w:r>
      <w:r>
        <w:rPr>
          <w:rFonts w:hint="eastAsia"/>
        </w:rPr>
        <w:t>出</w:t>
      </w:r>
      <w:r>
        <w:t>不同杀菌性能和</w:t>
      </w:r>
      <w:r>
        <w:rPr>
          <w:rFonts w:hint="eastAsia"/>
        </w:rPr>
        <w:t>毒理学</w:t>
      </w:r>
      <w:r>
        <w:t>、环境毒理学特性。</w:t>
      </w:r>
    </w:p>
    <w:p w:rsidR="0094748A" w:rsidRDefault="0094748A" w:rsidP="00BC79AE"/>
    <w:p w:rsidR="0094748A" w:rsidRPr="009B72E1" w:rsidRDefault="0094748A" w:rsidP="005860C0">
      <w:pPr>
        <w:ind w:firstLineChars="0" w:firstLine="0"/>
      </w:pPr>
      <w:r>
        <w:rPr>
          <w:noProof/>
        </w:rPr>
        <w:drawing>
          <wp:inline distT="0" distB="0" distL="0" distR="0">
            <wp:extent cx="5372100" cy="13312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5103" cy="1331997"/>
                    </a:xfrm>
                    <a:prstGeom prst="rect">
                      <a:avLst/>
                    </a:prstGeom>
                    <a:noFill/>
                  </pic:spPr>
                </pic:pic>
              </a:graphicData>
            </a:graphic>
          </wp:inline>
        </w:drawing>
      </w:r>
    </w:p>
    <w:p w:rsidR="0094748A" w:rsidRPr="0094748A" w:rsidRDefault="0094748A" w:rsidP="006D0B86">
      <w:r>
        <w:t>五种常见异噻唑啉酮</w:t>
      </w:r>
      <w:r>
        <w:rPr>
          <w:rFonts w:hint="eastAsia"/>
        </w:rPr>
        <w:t>衍生物</w:t>
      </w:r>
      <w:r>
        <w:t>杀菌剂</w:t>
      </w:r>
      <w:r>
        <w:rPr>
          <w:rFonts w:hint="eastAsia"/>
        </w:rPr>
        <w:t>，</w:t>
      </w:r>
      <w:r>
        <w:t>CMIT</w:t>
      </w:r>
      <w:r>
        <w:rPr>
          <w:rFonts w:hint="eastAsia"/>
        </w:rPr>
        <w:t>、</w:t>
      </w:r>
      <w:r>
        <w:t>MIT</w:t>
      </w:r>
      <w:r>
        <w:rPr>
          <w:rFonts w:hint="eastAsia"/>
        </w:rPr>
        <w:t>、</w:t>
      </w:r>
      <w:r>
        <w:t>BIT</w:t>
      </w:r>
      <w:r>
        <w:rPr>
          <w:rFonts w:hint="eastAsia"/>
        </w:rPr>
        <w:t>、</w:t>
      </w:r>
      <w:r>
        <w:t>OIT</w:t>
      </w:r>
      <w:r>
        <w:rPr>
          <w:rFonts w:hint="eastAsia"/>
        </w:rPr>
        <w:t>、</w:t>
      </w:r>
      <w:r>
        <w:t>DCOIT</w:t>
      </w:r>
      <w:r>
        <w:rPr>
          <w:rFonts w:hint="eastAsia"/>
        </w:rPr>
        <w:t>，</w:t>
      </w:r>
      <w:r>
        <w:t>其</w:t>
      </w:r>
      <w:r>
        <w:rPr>
          <w:rFonts w:hint="eastAsia"/>
        </w:rPr>
        <w:t>共同</w:t>
      </w:r>
      <w:r>
        <w:t>的特点是经测试没有致癌、致畸、致生殖毒性风险，可生物降解、无生物蓄积风险，主要的使用风险为一定浓度下的人体接触致敏风险。</w:t>
      </w:r>
    </w:p>
    <w:p w:rsidR="003B056F" w:rsidRDefault="003B056F" w:rsidP="00BC79AE">
      <w:r>
        <w:rPr>
          <w:rFonts w:hint="eastAsia"/>
        </w:rPr>
        <w:t>因为国外没有</w:t>
      </w:r>
      <w:r w:rsidR="00ED7174">
        <w:rPr>
          <w:rFonts w:hint="eastAsia"/>
        </w:rPr>
        <w:t>无机干粉类壁材的指标限定，这里参考</w:t>
      </w:r>
      <w:r w:rsidR="00B868C9" w:rsidRPr="00B868C9">
        <w:rPr>
          <w:rFonts w:hint="eastAsia"/>
        </w:rPr>
        <w:t>欧洲生态标签中对于生</w:t>
      </w:r>
      <w:r w:rsidR="00B868C9" w:rsidRPr="00B868C9">
        <w:rPr>
          <w:rFonts w:hint="eastAsia"/>
        </w:rPr>
        <w:lastRenderedPageBreak/>
        <w:t>物杀伤剂的要求</w:t>
      </w:r>
      <w:r w:rsidR="002C78E7">
        <w:rPr>
          <w:rFonts w:hint="eastAsia"/>
        </w:rPr>
        <w:t>,</w:t>
      </w:r>
      <w:r w:rsidR="005E1A31" w:rsidRPr="008A4A56">
        <w:rPr>
          <w:rFonts w:hint="eastAsia"/>
        </w:rPr>
        <w:t>结合我国与欧洲存在环境条件的差异，对</w:t>
      </w:r>
      <w:r w:rsidR="00076A37">
        <w:rPr>
          <w:rFonts w:hint="eastAsia"/>
        </w:rPr>
        <w:t>装饰壁材</w:t>
      </w:r>
      <w:r w:rsidR="00C90761" w:rsidRPr="008A4A56">
        <w:rPr>
          <w:rFonts w:hint="eastAsia"/>
        </w:rPr>
        <w:t>所涉及的生物杀伤剂的</w:t>
      </w:r>
      <w:r w:rsidR="005E1A31" w:rsidRPr="008A4A56">
        <w:rPr>
          <w:rFonts w:hint="eastAsia"/>
        </w:rPr>
        <w:t>某些指标进行适当调整</w:t>
      </w:r>
      <w:r w:rsidR="00C90761" w:rsidRPr="008A4A56">
        <w:rPr>
          <w:rFonts w:hint="eastAsia"/>
        </w:rPr>
        <w:t>。</w:t>
      </w:r>
    </w:p>
    <w:p w:rsidR="005E1A31" w:rsidRPr="008A4A56" w:rsidRDefault="003B056F" w:rsidP="003B056F">
      <w:pPr>
        <w:ind w:firstLineChars="0" w:firstLine="0"/>
        <w:jc w:val="center"/>
      </w:pPr>
      <w:r>
        <w:rPr>
          <w:rFonts w:hint="eastAsia"/>
        </w:rPr>
        <w:t>表</w:t>
      </w:r>
      <w:r w:rsidR="002C78E7">
        <w:rPr>
          <w:rFonts w:hint="eastAsia"/>
        </w:rPr>
        <w:t>3</w:t>
      </w:r>
      <w:r>
        <w:rPr>
          <w:rFonts w:hint="eastAsia"/>
        </w:rPr>
        <w:t xml:space="preserve"> </w:t>
      </w:r>
      <w:r w:rsidR="00A51A68">
        <w:rPr>
          <w:rFonts w:hint="eastAsia"/>
        </w:rPr>
        <w:t>异噻唑啉酮类防腐剂设定值</w:t>
      </w:r>
    </w:p>
    <w:tbl>
      <w:tblPr>
        <w:tblW w:w="4887"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tblPr>
      <w:tblGrid>
        <w:gridCol w:w="589"/>
        <w:gridCol w:w="1624"/>
        <w:gridCol w:w="983"/>
        <w:gridCol w:w="2304"/>
        <w:gridCol w:w="2829"/>
      </w:tblGrid>
      <w:tr w:rsidR="00717358" w:rsidRPr="008A4A56" w:rsidTr="005E1A31">
        <w:trPr>
          <w:trHeight w:val="434"/>
        </w:trPr>
        <w:tc>
          <w:tcPr>
            <w:tcW w:w="1328" w:type="pct"/>
            <w:gridSpan w:val="2"/>
            <w:vAlign w:val="center"/>
          </w:tcPr>
          <w:p w:rsidR="00717358" w:rsidRPr="008A4A56" w:rsidRDefault="00717358" w:rsidP="00BC79AE">
            <w:pPr>
              <w:rPr>
                <w:shd w:val="clear" w:color="auto" w:fill="FFFFFF"/>
              </w:rPr>
            </w:pPr>
            <w:r w:rsidRPr="008A4A56">
              <w:rPr>
                <w:rFonts w:hint="eastAsia"/>
                <w:kern w:val="0"/>
              </w:rPr>
              <w:t>生物杀伤剂</w:t>
            </w:r>
          </w:p>
        </w:tc>
        <w:tc>
          <w:tcPr>
            <w:tcW w:w="590" w:type="pct"/>
            <w:vAlign w:val="center"/>
          </w:tcPr>
          <w:p w:rsidR="00717358" w:rsidRPr="008A4A56" w:rsidRDefault="00717358" w:rsidP="003B056F">
            <w:pPr>
              <w:ind w:firstLineChars="0" w:firstLine="0"/>
              <w:rPr>
                <w:kern w:val="0"/>
              </w:rPr>
            </w:pPr>
            <w:r w:rsidRPr="008A4A56">
              <w:rPr>
                <w:rFonts w:hint="eastAsia"/>
                <w:kern w:val="0"/>
              </w:rPr>
              <w:t>单位</w:t>
            </w:r>
          </w:p>
        </w:tc>
        <w:tc>
          <w:tcPr>
            <w:tcW w:w="1383" w:type="pct"/>
            <w:vAlign w:val="center"/>
          </w:tcPr>
          <w:p w:rsidR="00717358" w:rsidRPr="008A4A56" w:rsidRDefault="00717358" w:rsidP="003B056F">
            <w:pPr>
              <w:ind w:firstLineChars="0" w:firstLine="0"/>
              <w:rPr>
                <w:kern w:val="0"/>
              </w:rPr>
            </w:pPr>
            <w:r w:rsidRPr="008A4A56">
              <w:rPr>
                <w:rFonts w:hint="eastAsia"/>
                <w:kern w:val="0"/>
              </w:rPr>
              <w:t>本标准拟设定值</w:t>
            </w:r>
          </w:p>
        </w:tc>
        <w:tc>
          <w:tcPr>
            <w:tcW w:w="1698" w:type="pct"/>
            <w:vAlign w:val="center"/>
          </w:tcPr>
          <w:p w:rsidR="00717358" w:rsidRPr="008A4A56" w:rsidRDefault="00717358" w:rsidP="003B056F">
            <w:pPr>
              <w:ind w:firstLineChars="0" w:firstLine="0"/>
              <w:rPr>
                <w:kern w:val="0"/>
              </w:rPr>
            </w:pPr>
            <w:r w:rsidRPr="008A4A56">
              <w:rPr>
                <w:rFonts w:hint="eastAsia"/>
                <w:kern w:val="0"/>
              </w:rPr>
              <w:t>欧盟生态标签（涂料）</w:t>
            </w:r>
          </w:p>
        </w:tc>
      </w:tr>
      <w:tr w:rsidR="00717358" w:rsidRPr="008A4A56" w:rsidTr="005E1A31">
        <w:trPr>
          <w:trHeight w:val="434"/>
        </w:trPr>
        <w:tc>
          <w:tcPr>
            <w:tcW w:w="354" w:type="pct"/>
            <w:vMerge w:val="restart"/>
            <w:vAlign w:val="center"/>
          </w:tcPr>
          <w:p w:rsidR="00717358" w:rsidRPr="008A4A56" w:rsidRDefault="00717358" w:rsidP="00BC79AE">
            <w:r w:rsidRPr="008A4A56">
              <w:rPr>
                <w:rFonts w:hint="eastAsia"/>
                <w:kern w:val="0"/>
              </w:rPr>
              <w:t>异噻唑啉酮</w:t>
            </w:r>
          </w:p>
        </w:tc>
        <w:tc>
          <w:tcPr>
            <w:tcW w:w="975" w:type="pct"/>
            <w:vAlign w:val="center"/>
          </w:tcPr>
          <w:p w:rsidR="00717358" w:rsidRPr="008A4A56" w:rsidRDefault="00717358" w:rsidP="003B056F">
            <w:pPr>
              <w:ind w:firstLineChars="0" w:firstLine="0"/>
            </w:pPr>
            <w:r w:rsidRPr="008A4A56">
              <w:rPr>
                <w:rFonts w:hint="eastAsia"/>
                <w:shd w:val="clear" w:color="auto" w:fill="FFFFFF"/>
              </w:rPr>
              <w:t>氯甲基异噻唑啉酮/</w:t>
            </w:r>
            <w:r w:rsidRPr="008A4A56">
              <w:rPr>
                <w:rFonts w:ascii="Arial" w:hAnsi="Arial" w:cs="Arial"/>
                <w:shd w:val="clear" w:color="auto" w:fill="FFFFFF"/>
              </w:rPr>
              <w:t>甲基异噻唑啉酮</w:t>
            </w:r>
            <w:r w:rsidR="003B056F">
              <w:rPr>
                <w:rFonts w:ascii="Arial" w:hAnsi="Arial" w:cs="Arial" w:hint="eastAsia"/>
                <w:shd w:val="clear" w:color="auto" w:fill="FFFFFF"/>
              </w:rPr>
              <w:t>(</w:t>
            </w:r>
            <w:r w:rsidRPr="008A4A56">
              <w:rPr>
                <w:rFonts w:ascii="Arial" w:hAnsi="Arial" w:cs="Arial" w:hint="eastAsia"/>
                <w:shd w:val="clear" w:color="auto" w:fill="FFFFFF"/>
              </w:rPr>
              <w:t>3/1</w:t>
            </w:r>
            <w:r w:rsidR="003B056F">
              <w:rPr>
                <w:rFonts w:ascii="Arial" w:hAnsi="Arial" w:cs="Arial" w:hint="eastAsia"/>
                <w:shd w:val="clear" w:color="auto" w:fill="FFFFFF"/>
              </w:rPr>
              <w:t>)</w:t>
            </w:r>
            <w:r w:rsidRPr="008A4A56">
              <w:rPr>
                <w:rFonts w:ascii="Arial" w:hAnsi="Arial" w:cs="Arial" w:hint="eastAsia"/>
                <w:shd w:val="clear" w:color="auto" w:fill="FFFFFF"/>
              </w:rPr>
              <w:t>［</w:t>
            </w:r>
            <w:r w:rsidRPr="008A4A56">
              <w:rPr>
                <w:rFonts w:hint="eastAsia"/>
              </w:rPr>
              <w:t>CMI/MI （3/1）</w:t>
            </w:r>
            <w:r w:rsidRPr="008A4A56">
              <w:rPr>
                <w:rFonts w:ascii="Arial" w:hAnsi="Arial" w:cs="Arial" w:hint="eastAsia"/>
                <w:shd w:val="clear" w:color="auto" w:fill="FFFFFF"/>
              </w:rPr>
              <w:t>］</w:t>
            </w:r>
          </w:p>
        </w:tc>
        <w:tc>
          <w:tcPr>
            <w:tcW w:w="590" w:type="pct"/>
            <w:vAlign w:val="center"/>
          </w:tcPr>
          <w:p w:rsidR="00717358" w:rsidRPr="008A4A56" w:rsidRDefault="00717358" w:rsidP="003B056F">
            <w:pPr>
              <w:ind w:firstLineChars="0" w:firstLine="0"/>
              <w:rPr>
                <w:kern w:val="0"/>
              </w:rPr>
            </w:pPr>
            <w:r w:rsidRPr="008A4A56">
              <w:rPr>
                <w:kern w:val="0"/>
              </w:rPr>
              <w:t>mg/</w:t>
            </w:r>
            <w:r w:rsidRPr="008A4A56">
              <w:rPr>
                <w:rFonts w:hint="eastAsia"/>
                <w:kern w:val="0"/>
              </w:rPr>
              <w:t>kg</w:t>
            </w:r>
          </w:p>
        </w:tc>
        <w:tc>
          <w:tcPr>
            <w:tcW w:w="1383" w:type="pct"/>
            <w:vAlign w:val="center"/>
          </w:tcPr>
          <w:p w:rsidR="00717358" w:rsidRPr="008A4A56" w:rsidRDefault="00717358" w:rsidP="00BC79AE">
            <w:pPr>
              <w:rPr>
                <w:kern w:val="0"/>
              </w:rPr>
            </w:pPr>
            <w:r w:rsidRPr="008A4A56">
              <w:rPr>
                <w:rFonts w:hint="eastAsia"/>
                <w:kern w:val="0"/>
              </w:rPr>
              <w:t>≤15</w:t>
            </w:r>
          </w:p>
        </w:tc>
        <w:tc>
          <w:tcPr>
            <w:tcW w:w="1698" w:type="pct"/>
            <w:vAlign w:val="center"/>
          </w:tcPr>
          <w:p w:rsidR="00717358" w:rsidRPr="008A4A56" w:rsidRDefault="00717358" w:rsidP="00BC79AE">
            <w:pPr>
              <w:rPr>
                <w:kern w:val="0"/>
              </w:rPr>
            </w:pPr>
            <w:r w:rsidRPr="008A4A56">
              <w:rPr>
                <w:rFonts w:hint="eastAsia"/>
                <w:kern w:val="0"/>
              </w:rPr>
              <w:t>15</w:t>
            </w:r>
          </w:p>
        </w:tc>
      </w:tr>
      <w:tr w:rsidR="00717358" w:rsidRPr="008A4A56" w:rsidTr="005E1A31">
        <w:trPr>
          <w:trHeight w:val="434"/>
        </w:trPr>
        <w:tc>
          <w:tcPr>
            <w:tcW w:w="354" w:type="pct"/>
            <w:vMerge/>
            <w:vAlign w:val="center"/>
          </w:tcPr>
          <w:p w:rsidR="00717358" w:rsidRPr="008A4A56" w:rsidRDefault="00717358" w:rsidP="00BC79AE">
            <w:pPr>
              <w:rPr>
                <w:kern w:val="0"/>
              </w:rPr>
            </w:pPr>
          </w:p>
        </w:tc>
        <w:tc>
          <w:tcPr>
            <w:tcW w:w="975" w:type="pct"/>
            <w:vAlign w:val="center"/>
          </w:tcPr>
          <w:p w:rsidR="00717358" w:rsidRPr="008A4A56" w:rsidRDefault="00717358" w:rsidP="003B056F">
            <w:pPr>
              <w:ind w:firstLineChars="0" w:firstLine="0"/>
            </w:pPr>
            <w:r w:rsidRPr="008A4A56">
              <w:rPr>
                <w:shd w:val="clear" w:color="auto" w:fill="FFFFFF"/>
              </w:rPr>
              <w:t>辛基异噻唑啉酮</w:t>
            </w:r>
            <w:r w:rsidRPr="008A4A56">
              <w:rPr>
                <w:rFonts w:hint="eastAsia"/>
                <w:shd w:val="clear" w:color="auto" w:fill="FFFFFF"/>
              </w:rPr>
              <w:t>（</w:t>
            </w:r>
            <w:r w:rsidRPr="008A4A56">
              <w:rPr>
                <w:rFonts w:hint="eastAsia"/>
              </w:rPr>
              <w:t>OIT</w:t>
            </w:r>
            <w:r w:rsidRPr="008A4A56">
              <w:rPr>
                <w:rFonts w:hint="eastAsia"/>
                <w:shd w:val="clear" w:color="auto" w:fill="FFFFFF"/>
              </w:rPr>
              <w:t>）</w:t>
            </w:r>
          </w:p>
        </w:tc>
        <w:tc>
          <w:tcPr>
            <w:tcW w:w="590" w:type="pct"/>
            <w:vAlign w:val="center"/>
          </w:tcPr>
          <w:p w:rsidR="00717358" w:rsidRPr="008A4A56" w:rsidRDefault="00717358" w:rsidP="003B056F">
            <w:pPr>
              <w:ind w:firstLineChars="0" w:firstLine="0"/>
              <w:rPr>
                <w:kern w:val="0"/>
              </w:rPr>
            </w:pPr>
            <w:r w:rsidRPr="008A4A56">
              <w:rPr>
                <w:kern w:val="0"/>
              </w:rPr>
              <w:t>mg/</w:t>
            </w:r>
            <w:r w:rsidRPr="008A4A56">
              <w:rPr>
                <w:rFonts w:hint="eastAsia"/>
                <w:kern w:val="0"/>
              </w:rPr>
              <w:t>kg</w:t>
            </w:r>
          </w:p>
        </w:tc>
        <w:tc>
          <w:tcPr>
            <w:tcW w:w="1383" w:type="pct"/>
            <w:vAlign w:val="center"/>
          </w:tcPr>
          <w:p w:rsidR="00717358" w:rsidRPr="008A4A56" w:rsidRDefault="00717358" w:rsidP="00BC79AE">
            <w:pPr>
              <w:rPr>
                <w:kern w:val="0"/>
              </w:rPr>
            </w:pPr>
            <w:r w:rsidRPr="008A4A56">
              <w:rPr>
                <w:rFonts w:hint="eastAsia"/>
                <w:kern w:val="0"/>
              </w:rPr>
              <w:t>≤500</w:t>
            </w:r>
          </w:p>
        </w:tc>
        <w:tc>
          <w:tcPr>
            <w:tcW w:w="1698" w:type="pct"/>
            <w:vAlign w:val="center"/>
          </w:tcPr>
          <w:p w:rsidR="00717358" w:rsidRPr="008A4A56" w:rsidRDefault="00717358" w:rsidP="00BC79AE">
            <w:pPr>
              <w:rPr>
                <w:kern w:val="0"/>
              </w:rPr>
            </w:pPr>
            <w:r w:rsidRPr="008A4A56">
              <w:rPr>
                <w:rFonts w:hint="eastAsia"/>
                <w:kern w:val="0"/>
              </w:rPr>
              <w:t>500</w:t>
            </w:r>
          </w:p>
        </w:tc>
      </w:tr>
      <w:tr w:rsidR="00717358" w:rsidRPr="008A4A56" w:rsidTr="005E1A31">
        <w:trPr>
          <w:trHeight w:val="434"/>
        </w:trPr>
        <w:tc>
          <w:tcPr>
            <w:tcW w:w="354" w:type="pct"/>
            <w:vMerge/>
            <w:vAlign w:val="center"/>
          </w:tcPr>
          <w:p w:rsidR="00717358" w:rsidRPr="008A4A56" w:rsidRDefault="00717358" w:rsidP="00BC79AE">
            <w:pPr>
              <w:rPr>
                <w:kern w:val="0"/>
              </w:rPr>
            </w:pPr>
          </w:p>
        </w:tc>
        <w:tc>
          <w:tcPr>
            <w:tcW w:w="975" w:type="pct"/>
            <w:vAlign w:val="center"/>
          </w:tcPr>
          <w:p w:rsidR="00717358" w:rsidRPr="008A4A56" w:rsidRDefault="00717358" w:rsidP="003B056F">
            <w:pPr>
              <w:ind w:firstLineChars="0" w:firstLine="0"/>
            </w:pPr>
            <w:r w:rsidRPr="008A4A56">
              <w:rPr>
                <w:shd w:val="clear" w:color="auto" w:fill="FFFFFF"/>
              </w:rPr>
              <w:t>苯并异噻唑酮</w:t>
            </w:r>
            <w:r w:rsidRPr="008A4A56">
              <w:rPr>
                <w:rFonts w:hint="eastAsia"/>
                <w:shd w:val="clear" w:color="auto" w:fill="FFFFFF"/>
              </w:rPr>
              <w:t>（BIT）</w:t>
            </w:r>
          </w:p>
        </w:tc>
        <w:tc>
          <w:tcPr>
            <w:tcW w:w="590" w:type="pct"/>
            <w:vAlign w:val="center"/>
          </w:tcPr>
          <w:p w:rsidR="00717358" w:rsidRPr="008A4A56" w:rsidRDefault="00717358" w:rsidP="003B056F">
            <w:pPr>
              <w:ind w:firstLineChars="0" w:firstLine="0"/>
              <w:rPr>
                <w:kern w:val="0"/>
              </w:rPr>
            </w:pPr>
            <w:r w:rsidRPr="008A4A56">
              <w:rPr>
                <w:kern w:val="0"/>
              </w:rPr>
              <w:t>mg/</w:t>
            </w:r>
            <w:r w:rsidRPr="008A4A56">
              <w:rPr>
                <w:rFonts w:hint="eastAsia"/>
                <w:kern w:val="0"/>
              </w:rPr>
              <w:t>kg</w:t>
            </w:r>
          </w:p>
        </w:tc>
        <w:tc>
          <w:tcPr>
            <w:tcW w:w="1383" w:type="pct"/>
            <w:vAlign w:val="center"/>
          </w:tcPr>
          <w:p w:rsidR="00717358" w:rsidRPr="008A4A56" w:rsidRDefault="00717358" w:rsidP="00BC79AE">
            <w:pPr>
              <w:rPr>
                <w:kern w:val="0"/>
              </w:rPr>
            </w:pPr>
            <w:r w:rsidRPr="008A4A56">
              <w:rPr>
                <w:rFonts w:hint="eastAsia"/>
                <w:kern w:val="0"/>
              </w:rPr>
              <w:t>≤500</w:t>
            </w:r>
          </w:p>
        </w:tc>
        <w:tc>
          <w:tcPr>
            <w:tcW w:w="1698" w:type="pct"/>
            <w:vAlign w:val="center"/>
          </w:tcPr>
          <w:p w:rsidR="00717358" w:rsidRPr="008A4A56" w:rsidRDefault="00717358" w:rsidP="00BC79AE">
            <w:pPr>
              <w:rPr>
                <w:kern w:val="0"/>
              </w:rPr>
            </w:pPr>
            <w:r w:rsidRPr="008A4A56">
              <w:rPr>
                <w:rFonts w:hint="eastAsia"/>
                <w:kern w:val="0"/>
              </w:rPr>
              <w:t>500</w:t>
            </w:r>
          </w:p>
        </w:tc>
      </w:tr>
      <w:tr w:rsidR="00717358" w:rsidRPr="008A4A56" w:rsidTr="005E1A31">
        <w:trPr>
          <w:trHeight w:val="434"/>
        </w:trPr>
        <w:tc>
          <w:tcPr>
            <w:tcW w:w="354" w:type="pct"/>
            <w:vMerge/>
            <w:vAlign w:val="center"/>
          </w:tcPr>
          <w:p w:rsidR="00717358" w:rsidRPr="008A4A56" w:rsidRDefault="00717358" w:rsidP="00BC79AE">
            <w:pPr>
              <w:rPr>
                <w:kern w:val="0"/>
              </w:rPr>
            </w:pPr>
          </w:p>
        </w:tc>
        <w:tc>
          <w:tcPr>
            <w:tcW w:w="975" w:type="pct"/>
            <w:vAlign w:val="center"/>
          </w:tcPr>
          <w:p w:rsidR="00717358" w:rsidRPr="008A4A56" w:rsidRDefault="00717358" w:rsidP="003B056F">
            <w:pPr>
              <w:ind w:firstLineChars="0" w:firstLine="0"/>
            </w:pPr>
            <w:r w:rsidRPr="008A4A56">
              <w:rPr>
                <w:shd w:val="clear" w:color="auto" w:fill="FFFFFF"/>
              </w:rPr>
              <w:t>甲基异噻唑酮</w:t>
            </w:r>
            <w:r w:rsidRPr="008A4A56">
              <w:rPr>
                <w:rFonts w:hint="eastAsia"/>
                <w:shd w:val="clear" w:color="auto" w:fill="FFFFFF"/>
              </w:rPr>
              <w:t>(</w:t>
            </w:r>
            <w:r w:rsidRPr="008A4A56">
              <w:rPr>
                <w:rFonts w:hint="eastAsia"/>
              </w:rPr>
              <w:t>MI)</w:t>
            </w:r>
          </w:p>
        </w:tc>
        <w:tc>
          <w:tcPr>
            <w:tcW w:w="590" w:type="pct"/>
            <w:vAlign w:val="center"/>
          </w:tcPr>
          <w:p w:rsidR="00717358" w:rsidRPr="008A4A56" w:rsidRDefault="00717358" w:rsidP="003B056F">
            <w:pPr>
              <w:ind w:firstLineChars="0" w:firstLine="0"/>
              <w:rPr>
                <w:kern w:val="0"/>
              </w:rPr>
            </w:pPr>
            <w:r w:rsidRPr="008A4A56">
              <w:rPr>
                <w:kern w:val="0"/>
              </w:rPr>
              <w:t>mg/</w:t>
            </w:r>
            <w:r w:rsidRPr="008A4A56">
              <w:rPr>
                <w:rFonts w:hint="eastAsia"/>
                <w:kern w:val="0"/>
              </w:rPr>
              <w:t>kg</w:t>
            </w:r>
          </w:p>
        </w:tc>
        <w:tc>
          <w:tcPr>
            <w:tcW w:w="1383" w:type="pct"/>
            <w:vAlign w:val="center"/>
          </w:tcPr>
          <w:p w:rsidR="00717358" w:rsidRPr="008A4A56" w:rsidRDefault="00717358" w:rsidP="00BC79AE">
            <w:pPr>
              <w:rPr>
                <w:kern w:val="0"/>
              </w:rPr>
            </w:pPr>
            <w:r w:rsidRPr="008A4A56">
              <w:rPr>
                <w:rFonts w:hint="eastAsia"/>
                <w:kern w:val="0"/>
              </w:rPr>
              <w:t>≤200</w:t>
            </w:r>
          </w:p>
        </w:tc>
        <w:tc>
          <w:tcPr>
            <w:tcW w:w="1698" w:type="pct"/>
            <w:vAlign w:val="center"/>
          </w:tcPr>
          <w:p w:rsidR="00717358" w:rsidRPr="008A4A56" w:rsidRDefault="00717358" w:rsidP="00BC79AE">
            <w:pPr>
              <w:rPr>
                <w:kern w:val="0"/>
              </w:rPr>
            </w:pPr>
            <w:r w:rsidRPr="008A4A56">
              <w:rPr>
                <w:rFonts w:hint="eastAsia"/>
                <w:kern w:val="0"/>
              </w:rPr>
              <w:t>200</w:t>
            </w:r>
          </w:p>
        </w:tc>
      </w:tr>
      <w:tr w:rsidR="00717358" w:rsidRPr="008A4A56" w:rsidTr="005E1A31">
        <w:trPr>
          <w:trHeight w:val="434"/>
        </w:trPr>
        <w:tc>
          <w:tcPr>
            <w:tcW w:w="354" w:type="pct"/>
            <w:vMerge/>
            <w:vAlign w:val="center"/>
          </w:tcPr>
          <w:p w:rsidR="00717358" w:rsidRPr="008A4A56" w:rsidRDefault="00717358" w:rsidP="00BC79AE">
            <w:pPr>
              <w:rPr>
                <w:kern w:val="0"/>
              </w:rPr>
            </w:pPr>
          </w:p>
        </w:tc>
        <w:tc>
          <w:tcPr>
            <w:tcW w:w="975" w:type="pct"/>
            <w:vAlign w:val="center"/>
          </w:tcPr>
          <w:p w:rsidR="00717358" w:rsidRPr="008A4A56" w:rsidRDefault="00717358" w:rsidP="003B056F">
            <w:pPr>
              <w:ind w:firstLineChars="0" w:firstLine="0"/>
              <w:rPr>
                <w:shd w:val="clear" w:color="auto" w:fill="FFFFFF"/>
              </w:rPr>
            </w:pPr>
            <w:r w:rsidRPr="008A4A56">
              <w:rPr>
                <w:rFonts w:hint="eastAsia"/>
                <w:shd w:val="clear" w:color="auto" w:fill="FFFFFF"/>
              </w:rPr>
              <w:t>双氯辛基异噻唑啉酮（DCOIT）</w:t>
            </w:r>
          </w:p>
        </w:tc>
        <w:tc>
          <w:tcPr>
            <w:tcW w:w="590" w:type="pct"/>
            <w:vAlign w:val="center"/>
          </w:tcPr>
          <w:p w:rsidR="00717358" w:rsidRPr="008A4A56" w:rsidRDefault="00717358" w:rsidP="003B056F">
            <w:pPr>
              <w:ind w:firstLineChars="0" w:firstLine="0"/>
              <w:rPr>
                <w:kern w:val="0"/>
              </w:rPr>
            </w:pPr>
            <w:r w:rsidRPr="008A4A56">
              <w:rPr>
                <w:kern w:val="0"/>
              </w:rPr>
              <w:t>mg/</w:t>
            </w:r>
            <w:r w:rsidRPr="008A4A56">
              <w:rPr>
                <w:rFonts w:hint="eastAsia"/>
                <w:kern w:val="0"/>
              </w:rPr>
              <w:t>kg</w:t>
            </w:r>
          </w:p>
        </w:tc>
        <w:tc>
          <w:tcPr>
            <w:tcW w:w="1383" w:type="pct"/>
            <w:vAlign w:val="center"/>
          </w:tcPr>
          <w:p w:rsidR="00717358" w:rsidRPr="008A4A56" w:rsidRDefault="00717358" w:rsidP="00BC79AE">
            <w:pPr>
              <w:rPr>
                <w:kern w:val="0"/>
              </w:rPr>
            </w:pPr>
            <w:r w:rsidRPr="008A4A56">
              <w:rPr>
                <w:rFonts w:hint="eastAsia"/>
                <w:kern w:val="0"/>
              </w:rPr>
              <w:t>≤500</w:t>
            </w:r>
          </w:p>
        </w:tc>
        <w:tc>
          <w:tcPr>
            <w:tcW w:w="1698" w:type="pct"/>
            <w:vAlign w:val="center"/>
          </w:tcPr>
          <w:p w:rsidR="00717358" w:rsidRPr="008A4A56" w:rsidRDefault="00717358" w:rsidP="00BC79AE">
            <w:pPr>
              <w:rPr>
                <w:kern w:val="0"/>
              </w:rPr>
            </w:pPr>
            <w:r w:rsidRPr="008A4A56">
              <w:rPr>
                <w:rFonts w:hint="eastAsia"/>
                <w:kern w:val="0"/>
              </w:rPr>
              <w:t>无要求</w:t>
            </w:r>
          </w:p>
        </w:tc>
      </w:tr>
      <w:tr w:rsidR="00717358" w:rsidRPr="008A4A56" w:rsidTr="005E1A31">
        <w:trPr>
          <w:trHeight w:val="434"/>
        </w:trPr>
        <w:tc>
          <w:tcPr>
            <w:tcW w:w="354" w:type="pct"/>
            <w:vMerge/>
            <w:vAlign w:val="center"/>
          </w:tcPr>
          <w:p w:rsidR="00717358" w:rsidRPr="008A4A56" w:rsidRDefault="00717358" w:rsidP="00BC79AE">
            <w:pPr>
              <w:rPr>
                <w:kern w:val="0"/>
              </w:rPr>
            </w:pPr>
          </w:p>
        </w:tc>
        <w:tc>
          <w:tcPr>
            <w:tcW w:w="975" w:type="pct"/>
            <w:vAlign w:val="center"/>
          </w:tcPr>
          <w:p w:rsidR="00717358" w:rsidRPr="008A4A56" w:rsidRDefault="00717358" w:rsidP="003B056F">
            <w:pPr>
              <w:ind w:firstLineChars="0" w:firstLine="0"/>
            </w:pPr>
            <w:r w:rsidRPr="008A4A56">
              <w:rPr>
                <w:rFonts w:hint="eastAsia"/>
                <w:kern w:val="0"/>
              </w:rPr>
              <w:t>异噻唑啉酮含量总和</w:t>
            </w:r>
          </w:p>
        </w:tc>
        <w:tc>
          <w:tcPr>
            <w:tcW w:w="590" w:type="pct"/>
            <w:vAlign w:val="center"/>
          </w:tcPr>
          <w:p w:rsidR="00717358" w:rsidRPr="008A4A56" w:rsidRDefault="00717358" w:rsidP="003B056F">
            <w:pPr>
              <w:ind w:firstLineChars="0" w:firstLine="0"/>
              <w:rPr>
                <w:kern w:val="0"/>
              </w:rPr>
            </w:pPr>
            <w:r w:rsidRPr="008A4A56">
              <w:rPr>
                <w:kern w:val="0"/>
              </w:rPr>
              <w:t>mg/</w:t>
            </w:r>
            <w:r w:rsidRPr="008A4A56">
              <w:rPr>
                <w:rFonts w:hint="eastAsia"/>
                <w:kern w:val="0"/>
              </w:rPr>
              <w:t>kg</w:t>
            </w:r>
          </w:p>
        </w:tc>
        <w:tc>
          <w:tcPr>
            <w:tcW w:w="1383" w:type="pct"/>
            <w:vAlign w:val="center"/>
          </w:tcPr>
          <w:p w:rsidR="00717358" w:rsidRPr="008A4A56" w:rsidRDefault="00717358" w:rsidP="00BC79AE">
            <w:pPr>
              <w:rPr>
                <w:kern w:val="0"/>
              </w:rPr>
            </w:pPr>
            <w:r w:rsidRPr="008A4A56">
              <w:rPr>
                <w:rFonts w:hint="eastAsia"/>
                <w:kern w:val="0"/>
              </w:rPr>
              <w:t>≤750</w:t>
            </w:r>
          </w:p>
        </w:tc>
        <w:tc>
          <w:tcPr>
            <w:tcW w:w="1698" w:type="pct"/>
            <w:vAlign w:val="center"/>
          </w:tcPr>
          <w:p w:rsidR="00717358" w:rsidRPr="008A4A56" w:rsidRDefault="00717358" w:rsidP="00BC79AE">
            <w:pPr>
              <w:rPr>
                <w:kern w:val="0"/>
              </w:rPr>
            </w:pPr>
            <w:r w:rsidRPr="008A4A56">
              <w:rPr>
                <w:rFonts w:hint="eastAsia"/>
                <w:kern w:val="0"/>
              </w:rPr>
              <w:t>500</w:t>
            </w:r>
          </w:p>
        </w:tc>
      </w:tr>
      <w:tr w:rsidR="00717358" w:rsidRPr="008A4A56" w:rsidTr="005E1A31">
        <w:trPr>
          <w:trHeight w:val="434"/>
        </w:trPr>
        <w:tc>
          <w:tcPr>
            <w:tcW w:w="1328" w:type="pct"/>
            <w:gridSpan w:val="2"/>
            <w:vAlign w:val="center"/>
          </w:tcPr>
          <w:p w:rsidR="00717358" w:rsidRPr="008A4A56" w:rsidRDefault="00717358" w:rsidP="003B056F">
            <w:pPr>
              <w:ind w:firstLineChars="0" w:firstLine="0"/>
            </w:pPr>
            <w:r w:rsidRPr="008A4A56">
              <w:rPr>
                <w:rFonts w:hint="eastAsia"/>
                <w:shd w:val="clear" w:color="auto" w:fill="FFFFFF"/>
              </w:rPr>
              <w:t>碘代丙炔基氨基甲酸丁酯(IPBC)</w:t>
            </w:r>
          </w:p>
        </w:tc>
        <w:tc>
          <w:tcPr>
            <w:tcW w:w="590" w:type="pct"/>
            <w:vAlign w:val="center"/>
          </w:tcPr>
          <w:p w:rsidR="00717358" w:rsidRPr="008A4A56" w:rsidRDefault="00717358" w:rsidP="003B056F">
            <w:pPr>
              <w:ind w:firstLineChars="0" w:firstLine="0"/>
              <w:rPr>
                <w:kern w:val="0"/>
              </w:rPr>
            </w:pPr>
            <w:r w:rsidRPr="008A4A56">
              <w:rPr>
                <w:kern w:val="0"/>
              </w:rPr>
              <w:t>mg/</w:t>
            </w:r>
            <w:r w:rsidRPr="008A4A56">
              <w:rPr>
                <w:rFonts w:hint="eastAsia"/>
                <w:kern w:val="0"/>
              </w:rPr>
              <w:t>kg</w:t>
            </w:r>
          </w:p>
        </w:tc>
        <w:tc>
          <w:tcPr>
            <w:tcW w:w="1383" w:type="pct"/>
            <w:vAlign w:val="center"/>
          </w:tcPr>
          <w:p w:rsidR="00717358" w:rsidRPr="008A4A56" w:rsidRDefault="00717358" w:rsidP="00BC79AE">
            <w:pPr>
              <w:rPr>
                <w:kern w:val="0"/>
              </w:rPr>
            </w:pPr>
            <w:r w:rsidRPr="008A4A56">
              <w:rPr>
                <w:rFonts w:hint="eastAsia"/>
                <w:kern w:val="0"/>
              </w:rPr>
              <w:t>≤1500</w:t>
            </w:r>
          </w:p>
        </w:tc>
        <w:tc>
          <w:tcPr>
            <w:tcW w:w="1698" w:type="pct"/>
            <w:vAlign w:val="center"/>
          </w:tcPr>
          <w:p w:rsidR="00717358" w:rsidRPr="008A4A56" w:rsidRDefault="00717358" w:rsidP="00BC79AE">
            <w:pPr>
              <w:rPr>
                <w:kern w:val="0"/>
              </w:rPr>
            </w:pPr>
            <w:r w:rsidRPr="008A4A56">
              <w:rPr>
                <w:rFonts w:hint="eastAsia"/>
                <w:kern w:val="0"/>
              </w:rPr>
              <w:t>1000（内墙），3500（外墙）</w:t>
            </w:r>
          </w:p>
        </w:tc>
      </w:tr>
      <w:tr w:rsidR="00717358" w:rsidRPr="008A4A56" w:rsidTr="005E1A31">
        <w:trPr>
          <w:trHeight w:val="434"/>
        </w:trPr>
        <w:tc>
          <w:tcPr>
            <w:tcW w:w="1328" w:type="pct"/>
            <w:gridSpan w:val="2"/>
            <w:vAlign w:val="center"/>
          </w:tcPr>
          <w:p w:rsidR="00717358" w:rsidRPr="008A4A56" w:rsidRDefault="00717358" w:rsidP="003B056F">
            <w:pPr>
              <w:ind w:firstLineChars="0" w:firstLine="0"/>
            </w:pPr>
            <w:r w:rsidRPr="008A4A56">
              <w:rPr>
                <w:rFonts w:hint="eastAsia"/>
                <w:shd w:val="clear" w:color="auto" w:fill="FFFFFF"/>
              </w:rPr>
              <w:t>吡啶硫酮锌（ZPT）</w:t>
            </w:r>
          </w:p>
        </w:tc>
        <w:tc>
          <w:tcPr>
            <w:tcW w:w="590" w:type="pct"/>
            <w:vAlign w:val="center"/>
          </w:tcPr>
          <w:p w:rsidR="00717358" w:rsidRPr="008A4A56" w:rsidRDefault="00717358" w:rsidP="003B056F">
            <w:pPr>
              <w:ind w:firstLineChars="0" w:firstLine="0"/>
              <w:rPr>
                <w:kern w:val="0"/>
              </w:rPr>
            </w:pPr>
            <w:r w:rsidRPr="008A4A56">
              <w:rPr>
                <w:kern w:val="0"/>
              </w:rPr>
              <w:t>mg/</w:t>
            </w:r>
            <w:r w:rsidRPr="008A4A56">
              <w:rPr>
                <w:rFonts w:hint="eastAsia"/>
                <w:kern w:val="0"/>
              </w:rPr>
              <w:t>kg</w:t>
            </w:r>
          </w:p>
        </w:tc>
        <w:tc>
          <w:tcPr>
            <w:tcW w:w="1383" w:type="pct"/>
            <w:vAlign w:val="center"/>
          </w:tcPr>
          <w:p w:rsidR="00717358" w:rsidRPr="008A4A56" w:rsidRDefault="00717358" w:rsidP="00BC79AE">
            <w:pPr>
              <w:rPr>
                <w:kern w:val="0"/>
              </w:rPr>
            </w:pPr>
            <w:r w:rsidRPr="008A4A56">
              <w:rPr>
                <w:rFonts w:hint="eastAsia"/>
                <w:kern w:val="0"/>
              </w:rPr>
              <w:t>≤1500</w:t>
            </w:r>
          </w:p>
        </w:tc>
        <w:tc>
          <w:tcPr>
            <w:tcW w:w="1698" w:type="pct"/>
            <w:vAlign w:val="center"/>
          </w:tcPr>
          <w:p w:rsidR="00717358" w:rsidRPr="008A4A56" w:rsidRDefault="00717358" w:rsidP="00BC79AE">
            <w:pPr>
              <w:rPr>
                <w:kern w:val="0"/>
              </w:rPr>
            </w:pPr>
            <w:r w:rsidRPr="008A4A56">
              <w:rPr>
                <w:rFonts w:hint="eastAsia"/>
                <w:kern w:val="0"/>
              </w:rPr>
              <w:t>1000</w:t>
            </w:r>
          </w:p>
        </w:tc>
      </w:tr>
      <w:tr w:rsidR="00717358" w:rsidRPr="008A4A56" w:rsidTr="005E1A31">
        <w:trPr>
          <w:trHeight w:val="434"/>
        </w:trPr>
        <w:tc>
          <w:tcPr>
            <w:tcW w:w="1328" w:type="pct"/>
            <w:gridSpan w:val="2"/>
            <w:vAlign w:val="center"/>
          </w:tcPr>
          <w:p w:rsidR="00717358" w:rsidRPr="008A4A56" w:rsidRDefault="00717358" w:rsidP="003B056F">
            <w:pPr>
              <w:ind w:firstLineChars="0" w:firstLine="0"/>
              <w:rPr>
                <w:shd w:val="clear" w:color="auto" w:fill="FFFFFF"/>
              </w:rPr>
            </w:pPr>
            <w:r w:rsidRPr="008A4A56">
              <w:rPr>
                <w:rFonts w:hint="eastAsia"/>
                <w:shd w:val="clear" w:color="auto" w:fill="FFFFFF"/>
              </w:rPr>
              <w:t>二(3-氨丙基）十二烷基胺</w:t>
            </w:r>
          </w:p>
        </w:tc>
        <w:tc>
          <w:tcPr>
            <w:tcW w:w="590" w:type="pct"/>
            <w:vAlign w:val="center"/>
          </w:tcPr>
          <w:p w:rsidR="00717358" w:rsidRPr="008A4A56" w:rsidRDefault="00717358" w:rsidP="003B056F">
            <w:pPr>
              <w:ind w:firstLineChars="0" w:firstLine="0"/>
              <w:rPr>
                <w:rFonts w:ascii="Arial" w:hAnsi="Arial" w:cs="Arial"/>
                <w:shd w:val="clear" w:color="auto" w:fill="FFFFFF"/>
              </w:rPr>
            </w:pPr>
            <w:r w:rsidRPr="008A4A56">
              <w:rPr>
                <w:kern w:val="0"/>
              </w:rPr>
              <w:t>mg/</w:t>
            </w:r>
            <w:r w:rsidRPr="008A4A56">
              <w:rPr>
                <w:rFonts w:hint="eastAsia"/>
                <w:kern w:val="0"/>
              </w:rPr>
              <w:t>kg</w:t>
            </w:r>
          </w:p>
        </w:tc>
        <w:tc>
          <w:tcPr>
            <w:tcW w:w="1383" w:type="pct"/>
            <w:vAlign w:val="center"/>
          </w:tcPr>
          <w:p w:rsidR="00717358" w:rsidRPr="008A4A56" w:rsidRDefault="00717358" w:rsidP="00BC79AE">
            <w:pPr>
              <w:rPr>
                <w:kern w:val="0"/>
              </w:rPr>
            </w:pPr>
            <w:r w:rsidRPr="008A4A56">
              <w:rPr>
                <w:rFonts w:hint="eastAsia"/>
                <w:kern w:val="0"/>
              </w:rPr>
              <w:t>≤500</w:t>
            </w:r>
          </w:p>
        </w:tc>
        <w:tc>
          <w:tcPr>
            <w:tcW w:w="1698" w:type="pct"/>
            <w:vAlign w:val="center"/>
          </w:tcPr>
          <w:p w:rsidR="00717358" w:rsidRPr="008A4A56" w:rsidRDefault="00717358" w:rsidP="00BC79AE">
            <w:pPr>
              <w:rPr>
                <w:kern w:val="0"/>
              </w:rPr>
            </w:pPr>
            <w:r w:rsidRPr="008A4A56">
              <w:rPr>
                <w:rFonts w:hint="eastAsia"/>
                <w:kern w:val="0"/>
              </w:rPr>
              <w:t>500</w:t>
            </w:r>
          </w:p>
        </w:tc>
      </w:tr>
      <w:tr w:rsidR="00717358" w:rsidRPr="008A4A56" w:rsidTr="005E1A31">
        <w:trPr>
          <w:trHeight w:val="434"/>
        </w:trPr>
        <w:tc>
          <w:tcPr>
            <w:tcW w:w="1328" w:type="pct"/>
            <w:gridSpan w:val="2"/>
            <w:vAlign w:val="center"/>
          </w:tcPr>
          <w:p w:rsidR="00717358" w:rsidRPr="008A4A56" w:rsidRDefault="00717358" w:rsidP="003B056F">
            <w:pPr>
              <w:ind w:firstLineChars="0" w:firstLine="0"/>
              <w:rPr>
                <w:kern w:val="0"/>
              </w:rPr>
            </w:pPr>
            <w:r w:rsidRPr="008A4A56">
              <w:rPr>
                <w:rFonts w:hint="eastAsia"/>
                <w:kern w:val="0"/>
              </w:rPr>
              <w:t>多菌灵、敌草隆、百菌清、三氯生</w:t>
            </w:r>
          </w:p>
        </w:tc>
        <w:tc>
          <w:tcPr>
            <w:tcW w:w="590" w:type="pct"/>
            <w:vAlign w:val="center"/>
          </w:tcPr>
          <w:p w:rsidR="00717358" w:rsidRPr="008A4A56" w:rsidRDefault="00717358" w:rsidP="003B056F">
            <w:pPr>
              <w:ind w:firstLineChars="0" w:firstLine="0"/>
              <w:rPr>
                <w:kern w:val="0"/>
              </w:rPr>
            </w:pPr>
            <w:r w:rsidRPr="008A4A56">
              <w:rPr>
                <w:rFonts w:hint="eastAsia"/>
                <w:kern w:val="0"/>
              </w:rPr>
              <w:t>—</w:t>
            </w:r>
          </w:p>
        </w:tc>
        <w:tc>
          <w:tcPr>
            <w:tcW w:w="1383" w:type="pct"/>
            <w:vAlign w:val="center"/>
          </w:tcPr>
          <w:p w:rsidR="00717358" w:rsidRPr="008A4A56" w:rsidRDefault="00717358" w:rsidP="00BC79AE">
            <w:pPr>
              <w:rPr>
                <w:kern w:val="0"/>
              </w:rPr>
            </w:pPr>
            <w:r w:rsidRPr="008A4A56">
              <w:rPr>
                <w:rFonts w:hint="eastAsia"/>
                <w:kern w:val="0"/>
              </w:rPr>
              <w:t>均不得添加</w:t>
            </w:r>
          </w:p>
        </w:tc>
        <w:tc>
          <w:tcPr>
            <w:tcW w:w="1698" w:type="pct"/>
            <w:vMerge w:val="restart"/>
            <w:vAlign w:val="center"/>
          </w:tcPr>
          <w:p w:rsidR="00717358" w:rsidRPr="008A4A56" w:rsidRDefault="00717358" w:rsidP="00A51A68">
            <w:pPr>
              <w:ind w:firstLineChars="0" w:firstLine="0"/>
              <w:rPr>
                <w:kern w:val="0"/>
              </w:rPr>
            </w:pPr>
            <w:r w:rsidRPr="008A4A56">
              <w:rPr>
                <w:rFonts w:hint="eastAsia"/>
                <w:kern w:val="0"/>
              </w:rPr>
              <w:t>有详细的化学品管理要求。</w:t>
            </w:r>
          </w:p>
        </w:tc>
      </w:tr>
      <w:tr w:rsidR="00717358" w:rsidRPr="008A4A56" w:rsidTr="005E1A31">
        <w:trPr>
          <w:trHeight w:val="434"/>
        </w:trPr>
        <w:tc>
          <w:tcPr>
            <w:tcW w:w="1328" w:type="pct"/>
            <w:gridSpan w:val="2"/>
            <w:vAlign w:val="center"/>
          </w:tcPr>
          <w:p w:rsidR="00717358" w:rsidRPr="008A4A56" w:rsidRDefault="00717358" w:rsidP="003B056F">
            <w:pPr>
              <w:ind w:firstLineChars="0" w:firstLine="0"/>
              <w:rPr>
                <w:kern w:val="0"/>
              </w:rPr>
            </w:pPr>
            <w:r w:rsidRPr="008A4A56">
              <w:rPr>
                <w:rFonts w:hint="eastAsia"/>
                <w:kern w:val="0"/>
              </w:rPr>
              <w:t>涉及</w:t>
            </w:r>
            <w:r w:rsidRPr="008A4A56">
              <w:rPr>
                <w:rFonts w:hint="eastAsia"/>
              </w:rPr>
              <w:t>在体内验证试验中确认具有内分</w:t>
            </w:r>
            <w:r w:rsidRPr="008A4A56">
              <w:rPr>
                <w:rFonts w:hint="eastAsia"/>
              </w:rPr>
              <w:lastRenderedPageBreak/>
              <w:t>泌干扰的</w:t>
            </w:r>
            <w:r w:rsidRPr="008A4A56">
              <w:rPr>
                <w:rFonts w:hint="eastAsia"/>
                <w:kern w:val="0"/>
              </w:rPr>
              <w:t>生物杀伤剂</w:t>
            </w:r>
          </w:p>
        </w:tc>
        <w:tc>
          <w:tcPr>
            <w:tcW w:w="590" w:type="pct"/>
            <w:vAlign w:val="center"/>
          </w:tcPr>
          <w:p w:rsidR="00717358" w:rsidRPr="008A4A56" w:rsidRDefault="00717358" w:rsidP="003B056F">
            <w:pPr>
              <w:ind w:firstLineChars="0" w:firstLine="0"/>
              <w:rPr>
                <w:kern w:val="0"/>
              </w:rPr>
            </w:pPr>
            <w:r w:rsidRPr="008A4A56">
              <w:rPr>
                <w:rFonts w:hint="eastAsia"/>
                <w:kern w:val="0"/>
              </w:rPr>
              <w:lastRenderedPageBreak/>
              <w:t>—</w:t>
            </w:r>
          </w:p>
        </w:tc>
        <w:tc>
          <w:tcPr>
            <w:tcW w:w="1383" w:type="pct"/>
            <w:vAlign w:val="center"/>
          </w:tcPr>
          <w:p w:rsidR="00717358" w:rsidRPr="008A4A56" w:rsidRDefault="00717358" w:rsidP="00BC79AE">
            <w:pPr>
              <w:rPr>
                <w:kern w:val="0"/>
              </w:rPr>
            </w:pPr>
            <w:r w:rsidRPr="008A4A56">
              <w:rPr>
                <w:rFonts w:hint="eastAsia"/>
                <w:kern w:val="0"/>
              </w:rPr>
              <w:t>不得添加</w:t>
            </w:r>
          </w:p>
        </w:tc>
        <w:tc>
          <w:tcPr>
            <w:tcW w:w="1698" w:type="pct"/>
            <w:vMerge/>
            <w:vAlign w:val="center"/>
          </w:tcPr>
          <w:p w:rsidR="00717358" w:rsidRPr="008A4A56" w:rsidRDefault="00717358" w:rsidP="00BC79AE">
            <w:pPr>
              <w:rPr>
                <w:kern w:val="0"/>
              </w:rPr>
            </w:pPr>
          </w:p>
        </w:tc>
      </w:tr>
      <w:tr w:rsidR="00717358" w:rsidRPr="008A4A56" w:rsidTr="005E1A31">
        <w:trPr>
          <w:trHeight w:val="434"/>
        </w:trPr>
        <w:tc>
          <w:tcPr>
            <w:tcW w:w="1328" w:type="pct"/>
            <w:gridSpan w:val="2"/>
            <w:vAlign w:val="center"/>
          </w:tcPr>
          <w:p w:rsidR="00717358" w:rsidRPr="008A4A56" w:rsidRDefault="00717358" w:rsidP="003B056F">
            <w:pPr>
              <w:ind w:firstLineChars="0" w:firstLine="0"/>
            </w:pPr>
            <w:r w:rsidRPr="008A4A56">
              <w:rPr>
                <w:rFonts w:hint="eastAsia"/>
                <w:kern w:val="0"/>
              </w:rPr>
              <w:lastRenderedPageBreak/>
              <w:t>涉及致癌性、生殖细胞致突变性、生殖毒性中类别1的生物杀伤剂</w:t>
            </w:r>
          </w:p>
        </w:tc>
        <w:tc>
          <w:tcPr>
            <w:tcW w:w="590" w:type="pct"/>
            <w:vAlign w:val="center"/>
          </w:tcPr>
          <w:p w:rsidR="00717358" w:rsidRPr="008A4A56" w:rsidRDefault="00717358" w:rsidP="003B056F">
            <w:pPr>
              <w:ind w:firstLineChars="0" w:firstLine="0"/>
              <w:rPr>
                <w:kern w:val="0"/>
              </w:rPr>
            </w:pPr>
            <w:r w:rsidRPr="008A4A56">
              <w:rPr>
                <w:rFonts w:hint="eastAsia"/>
                <w:kern w:val="0"/>
              </w:rPr>
              <w:t>—</w:t>
            </w:r>
          </w:p>
        </w:tc>
        <w:tc>
          <w:tcPr>
            <w:tcW w:w="1383" w:type="pct"/>
            <w:vAlign w:val="center"/>
          </w:tcPr>
          <w:p w:rsidR="00717358" w:rsidRPr="008A4A56" w:rsidRDefault="00717358" w:rsidP="00BC79AE">
            <w:pPr>
              <w:rPr>
                <w:kern w:val="0"/>
              </w:rPr>
            </w:pPr>
            <w:r w:rsidRPr="008A4A56">
              <w:rPr>
                <w:rFonts w:hint="eastAsia"/>
                <w:kern w:val="0"/>
              </w:rPr>
              <w:t>不得添加</w:t>
            </w:r>
          </w:p>
        </w:tc>
        <w:tc>
          <w:tcPr>
            <w:tcW w:w="1698" w:type="pct"/>
            <w:vMerge/>
            <w:vAlign w:val="center"/>
          </w:tcPr>
          <w:p w:rsidR="00717358" w:rsidRPr="008A4A56" w:rsidRDefault="00717358" w:rsidP="00BC79AE">
            <w:pPr>
              <w:rPr>
                <w:kern w:val="0"/>
              </w:rPr>
            </w:pPr>
          </w:p>
        </w:tc>
      </w:tr>
    </w:tbl>
    <w:p w:rsidR="00BA4E53" w:rsidRPr="008A4A56" w:rsidRDefault="00BA4E53" w:rsidP="005860C0">
      <w:pPr>
        <w:pStyle w:val="aa"/>
        <w:numPr>
          <w:ilvl w:val="0"/>
          <w:numId w:val="6"/>
        </w:numPr>
        <w:ind w:left="0" w:firstLineChars="0" w:firstLine="0"/>
      </w:pPr>
      <w:r w:rsidRPr="008A4A56">
        <w:rPr>
          <w:rFonts w:hint="eastAsia"/>
        </w:rPr>
        <w:t>其他项目的设置和依据</w:t>
      </w:r>
    </w:p>
    <w:p w:rsidR="00DB1652" w:rsidRDefault="00076A37" w:rsidP="00BC79AE">
      <w:r w:rsidRPr="00C90761">
        <w:rPr>
          <w:rFonts w:hint="eastAsia"/>
        </w:rPr>
        <w:t>美、日及欧洲等国家和地区非常重视水性涂料的开发和应用，如在德国，建筑涂料的</w:t>
      </w:r>
      <w:r w:rsidRPr="00C90761">
        <w:t xml:space="preserve">93% </w:t>
      </w:r>
      <w:r w:rsidRPr="00C90761">
        <w:rPr>
          <w:rFonts w:hint="eastAsia"/>
        </w:rPr>
        <w:t>已经实现了水性化。</w:t>
      </w:r>
      <w:r w:rsidR="00C90761" w:rsidRPr="00C90761">
        <w:rPr>
          <w:rFonts w:hint="eastAsia"/>
        </w:rPr>
        <w:t>水性涂料是以水作为溶剂或者分散介质的涂料体系，水性涂料在生产和施工上更加安全、简便和易于操作，具有更为广阔的应用前景。</w:t>
      </w:r>
      <w:r w:rsidR="00ED7174">
        <w:rPr>
          <w:rFonts w:hint="eastAsia"/>
        </w:rPr>
        <w:t>硅藻泥、贝壳粉装饰壁材</w:t>
      </w:r>
      <w:r>
        <w:rPr>
          <w:rFonts w:hint="eastAsia"/>
        </w:rPr>
        <w:t>施工环节是以水作为分散介质的环境友好型涂敷材料</w:t>
      </w:r>
      <w:r w:rsidRPr="00C90761">
        <w:rPr>
          <w:rFonts w:hint="eastAsia"/>
        </w:rPr>
        <w:t>。</w:t>
      </w:r>
      <w:r w:rsidR="00B874FD" w:rsidRPr="008A4A56">
        <w:rPr>
          <w:rFonts w:hint="eastAsia"/>
        </w:rPr>
        <w:t>无机粉体涂装</w:t>
      </w:r>
      <w:r w:rsidR="00ED7174">
        <w:rPr>
          <w:rFonts w:hint="eastAsia"/>
        </w:rPr>
        <w:t>壁材</w:t>
      </w:r>
      <w:r w:rsidR="00B874FD" w:rsidRPr="008A4A56">
        <w:rPr>
          <w:rFonts w:hint="eastAsia"/>
        </w:rPr>
        <w:t>在与水性建筑涂料指标基本一致的基础上，结合消费者的需求，增加了放射性标准要求，更切实符合消费者的利益和中国特色。</w:t>
      </w:r>
      <w:r w:rsidR="005E1A31" w:rsidRPr="00C90761">
        <w:rPr>
          <w:rFonts w:hint="eastAsia"/>
        </w:rPr>
        <w:t xml:space="preserve">标准水平达到世界先进水平。 </w:t>
      </w:r>
    </w:p>
    <w:p w:rsidR="001E28A7" w:rsidRPr="002E0028" w:rsidRDefault="00F7640B" w:rsidP="002E0028">
      <w:pPr>
        <w:ind w:firstLineChars="0" w:firstLine="0"/>
      </w:pPr>
      <w:r w:rsidRPr="002E0028">
        <w:rPr>
          <w:rFonts w:hint="eastAsia"/>
        </w:rPr>
        <w:t>2.</w:t>
      </w:r>
      <w:r w:rsidR="002C78E7" w:rsidRPr="002E0028">
        <w:rPr>
          <w:rFonts w:hint="eastAsia"/>
        </w:rPr>
        <w:t>2.5生命周期评价报告编制方法</w:t>
      </w:r>
    </w:p>
    <w:p w:rsidR="002C78E7" w:rsidRDefault="002C78E7" w:rsidP="00BC79AE">
      <w:r>
        <w:rPr>
          <w:rFonts w:ascii="宋体" w:eastAsia="宋体" w:hAnsi="宋体" w:hint="eastAsia"/>
        </w:rPr>
        <w:t>本章根据GB/T24040-2008《环境管理 生命周期评价 原则与框架》、GB/T24044-2008《环境管理 生命周期评价 要求与指南》、GB/T 32161-2015《生态设计产品评价通则》给出的生命周期评价方法学框架、总体要求及附录的要求编写，具体内容包括方法依据、报告内容、生命周期评价方法（附录B）。</w:t>
      </w:r>
    </w:p>
    <w:p w:rsidR="00373027" w:rsidRPr="002E0028" w:rsidRDefault="002C78E7" w:rsidP="002E0028">
      <w:r w:rsidRPr="002E0028">
        <w:rPr>
          <w:rFonts w:hint="eastAsia"/>
        </w:rPr>
        <w:t>(1)</w:t>
      </w:r>
      <w:r w:rsidR="00F7640B" w:rsidRPr="002E0028">
        <w:rPr>
          <w:rFonts w:hint="eastAsia"/>
        </w:rPr>
        <w:t>研究意义</w:t>
      </w:r>
    </w:p>
    <w:p w:rsidR="00F7640B" w:rsidRDefault="00F7640B" w:rsidP="00BC79AE">
      <w:r>
        <w:rPr>
          <w:rFonts w:hint="eastAsia"/>
        </w:rPr>
        <w:t>生命周期评估方法作为一种在国际上应用最为广泛的产品环境影响评价方法，通过对产品在其生命周期过程（从原材料获取、生产、运输、消费乃至最终废弃物处置）对环境的影响进行量化评估，从而提供环境信息以辅助支持决策分析和政策制定。本标准的目的是通过生命周期的研究，可以得出无机粉体壁材的环境影响量化数据，更直观的评估硅藻泥、贝壳粉装饰壁材中成分的变化对环境影响带来的变化，为推进绿色设计产品的发展提供数据支撑。</w:t>
      </w:r>
    </w:p>
    <w:p w:rsidR="00F7640B" w:rsidRPr="002E0028" w:rsidRDefault="002C78E7" w:rsidP="002E0028">
      <w:r w:rsidRPr="002E0028">
        <w:rPr>
          <w:rFonts w:hint="eastAsia"/>
        </w:rPr>
        <w:t>(2)</w:t>
      </w:r>
      <w:r w:rsidR="00F7640B" w:rsidRPr="002E0028">
        <w:rPr>
          <w:rFonts w:hint="eastAsia"/>
        </w:rPr>
        <w:t xml:space="preserve"> 流程说明</w:t>
      </w:r>
    </w:p>
    <w:p w:rsidR="00F7640B" w:rsidRPr="002E0028" w:rsidRDefault="005646E2" w:rsidP="002C78E7">
      <w:pPr>
        <w:pStyle w:val="aa"/>
        <w:numPr>
          <w:ilvl w:val="0"/>
          <w:numId w:val="9"/>
        </w:numPr>
        <w:ind w:firstLineChars="0"/>
      </w:pPr>
      <w:r w:rsidRPr="002E0028">
        <w:rPr>
          <w:rFonts w:hint="eastAsia"/>
        </w:rPr>
        <w:t>功能单位说明</w:t>
      </w:r>
    </w:p>
    <w:p w:rsidR="005646E2" w:rsidRPr="00C90761" w:rsidRDefault="005646E2" w:rsidP="00BC79AE">
      <w:r>
        <w:rPr>
          <w:rFonts w:hint="eastAsia"/>
        </w:rPr>
        <w:t>本标准功能单位为1t硅藻泥或贝壳粉产品。</w:t>
      </w:r>
    </w:p>
    <w:p w:rsidR="005646E2" w:rsidRPr="002E0028" w:rsidRDefault="005646E2" w:rsidP="002C78E7">
      <w:pPr>
        <w:pStyle w:val="aa"/>
        <w:numPr>
          <w:ilvl w:val="0"/>
          <w:numId w:val="9"/>
        </w:numPr>
        <w:ind w:firstLineChars="0"/>
        <w:rPr>
          <w:b/>
        </w:rPr>
      </w:pPr>
      <w:r w:rsidRPr="002E0028">
        <w:rPr>
          <w:rFonts w:hint="eastAsia"/>
          <w:b/>
        </w:rPr>
        <w:lastRenderedPageBreak/>
        <w:t>系统边界说明</w:t>
      </w:r>
    </w:p>
    <w:p w:rsidR="005646E2" w:rsidRDefault="005646E2" w:rsidP="00F93757">
      <w:r w:rsidRPr="005646E2">
        <w:rPr>
          <w:rFonts w:hint="eastAsia"/>
        </w:rPr>
        <w:t>硅藻泥、贝壳粉产品生命周期系统边界，分3个阶段：原辅料与能源的开采、生产阶段；壁材产品的生产、销售阶段；壁材废弃阶段。其中不考虑生产设备在生产过程中可能产生的环境污染。如图B.1所示，具体包括：</w:t>
      </w:r>
    </w:p>
    <w:p w:rsidR="002C78E7" w:rsidRPr="005646E2" w:rsidRDefault="00FD73A5" w:rsidP="002E0028">
      <w:pPr>
        <w:ind w:leftChars="-177" w:left="-425" w:firstLineChars="0" w:firstLine="0"/>
      </w:pPr>
      <w:r w:rsidRPr="00FD73A5">
        <w:rPr>
          <w:rFonts w:ascii="宋体"/>
          <w:noProof/>
          <w:kern w:val="0"/>
          <w:sz w:val="21"/>
          <w:szCs w:val="20"/>
        </w:rPr>
      </w:r>
      <w:r w:rsidRPr="00FD73A5">
        <w:rPr>
          <w:rFonts w:ascii="宋体"/>
          <w:noProof/>
          <w:kern w:val="0"/>
          <w:sz w:val="21"/>
          <w:szCs w:val="20"/>
        </w:rPr>
        <w:pict>
          <v:group id="_x0000_s1042" editas="canvas" style="width:489.45pt;height:197.25pt;mso-position-horizontal-relative:char;mso-position-vertical-relative:line" coordorigin="1838,2334" coordsize="9789,39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1838;top:2334;width:9789;height:3945"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44" type="#_x0000_t109" style="position:absolute;left:2246;top:2704;width:1217;height:966">
              <v:textbox style="mso-next-textbox:#_x0000_s1044">
                <w:txbxContent>
                  <w:p w:rsidR="002C78E7" w:rsidRPr="002C78E7" w:rsidRDefault="002C78E7" w:rsidP="002C78E7">
                    <w:pPr>
                      <w:spacing w:line="240" w:lineRule="auto"/>
                      <w:ind w:firstLineChars="0" w:firstLine="0"/>
                      <w:rPr>
                        <w:sz w:val="28"/>
                        <w:szCs w:val="18"/>
                      </w:rPr>
                    </w:pPr>
                    <w:r w:rsidRPr="002C78E7">
                      <w:rPr>
                        <w:rFonts w:hint="eastAsia"/>
                        <w:sz w:val="20"/>
                        <w:szCs w:val="18"/>
                      </w:rPr>
                      <w:t>硅藻泥、贝壳粉生产</w:t>
                    </w:r>
                  </w:p>
                </w:txbxContent>
              </v:textbox>
            </v:shape>
            <v:shape id="_x0000_s1045" type="#_x0000_t109" style="position:absolute;left:2247;top:3934;width:1217;height:720">
              <v:textbox style="mso-next-textbox:#_x0000_s1045">
                <w:txbxContent>
                  <w:p w:rsidR="002C78E7" w:rsidRPr="00846220" w:rsidRDefault="002C78E7" w:rsidP="002C78E7">
                    <w:pPr>
                      <w:ind w:firstLineChars="0" w:firstLine="0"/>
                      <w:rPr>
                        <w:sz w:val="18"/>
                      </w:rPr>
                    </w:pPr>
                    <w:r w:rsidRPr="00846220">
                      <w:rPr>
                        <w:rFonts w:hint="eastAsia"/>
                        <w:sz w:val="18"/>
                      </w:rPr>
                      <w:t>颜填料生产</w:t>
                    </w:r>
                  </w:p>
                </w:txbxContent>
              </v:textbox>
            </v:shape>
            <v:shape id="_x0000_s1046" type="#_x0000_t109" style="position:absolute;left:4183;top:3237;width:916;height:823">
              <v:textbox style="mso-next-textbox:#_x0000_s1046">
                <w:txbxContent>
                  <w:p w:rsidR="002C78E7" w:rsidRPr="003E619B" w:rsidRDefault="002C78E7" w:rsidP="002E0028">
                    <w:pPr>
                      <w:spacing w:line="240" w:lineRule="auto"/>
                      <w:ind w:firstLineChars="0" w:firstLine="0"/>
                      <w:rPr>
                        <w:sz w:val="20"/>
                      </w:rPr>
                    </w:pPr>
                    <w:r w:rsidRPr="003E619B">
                      <w:rPr>
                        <w:rFonts w:hint="eastAsia"/>
                        <w:sz w:val="20"/>
                      </w:rPr>
                      <w:t>运输</w:t>
                    </w:r>
                  </w:p>
                </w:txbxContent>
              </v:textbox>
            </v:shape>
            <v:shapetype id="_x0000_t32" coordsize="21600,21600" o:spt="32" o:oned="t" path="m,l21600,21600e" filled="f">
              <v:path arrowok="t" fillok="f" o:connecttype="none"/>
              <o:lock v:ext="edit" shapetype="t"/>
            </v:shapetype>
            <v:shape id="_x0000_s1047" type="#_x0000_t32" style="position:absolute;left:5099;top:3649;width:494;height:15" o:connectortype="straight">
              <v:stroke endarrow="block"/>
            </v:shape>
            <v:shape id="_x0000_s1048" type="#_x0000_t109" style="position:absolute;left:5593;top:3252;width:886;height:823">
              <v:textbox style="mso-next-textbox:#_x0000_s1048">
                <w:txbxContent>
                  <w:p w:rsidR="002C78E7" w:rsidRPr="003E619B" w:rsidRDefault="002C78E7" w:rsidP="002C78E7">
                    <w:pPr>
                      <w:spacing w:line="240" w:lineRule="auto"/>
                      <w:ind w:firstLineChars="0" w:firstLine="0"/>
                      <w:jc w:val="left"/>
                      <w:rPr>
                        <w:sz w:val="20"/>
                      </w:rPr>
                    </w:pPr>
                    <w:r w:rsidRPr="003E619B">
                      <w:rPr>
                        <w:rFonts w:hint="eastAsia"/>
                        <w:sz w:val="20"/>
                      </w:rPr>
                      <w:t>壁材生产</w:t>
                    </w:r>
                  </w:p>
                </w:txbxContent>
              </v:textbox>
            </v:shape>
            <v:shape id="_x0000_s1049" type="#_x0000_t32" style="position:absolute;left:6479;top:3664;width:509;height:1" o:connectortype="straight">
              <v:stroke endarrow="block"/>
            </v:shape>
            <v:shape id="_x0000_s1050" type="#_x0000_t109" style="position:absolute;left:6988;top:3252;width:1096;height:823">
              <v:textbox style="mso-next-textbox:#_x0000_s1050">
                <w:txbxContent>
                  <w:p w:rsidR="002C78E7" w:rsidRPr="00846220" w:rsidRDefault="002C78E7" w:rsidP="002C78E7">
                    <w:pPr>
                      <w:spacing w:line="240" w:lineRule="auto"/>
                      <w:ind w:firstLineChars="0" w:firstLine="0"/>
                      <w:rPr>
                        <w:sz w:val="18"/>
                      </w:rPr>
                    </w:pPr>
                    <w:r w:rsidRPr="00846220">
                      <w:rPr>
                        <w:rFonts w:hint="eastAsia"/>
                        <w:sz w:val="18"/>
                      </w:rPr>
                      <w:t>壁材包装和运输</w:t>
                    </w:r>
                  </w:p>
                </w:txbxContent>
              </v:textbox>
            </v:shape>
            <v:shape id="_x0000_s1051" type="#_x0000_t32" style="position:absolute;left:8084;top:3664;width:509;height:1" o:connectortype="straight">
              <v:stroke endarrow="block"/>
            </v:shape>
            <v:shape id="_x0000_s1052" type="#_x0000_t109" style="position:absolute;left:8593;top:3252;width:1171;height:823">
              <v:textbox style="mso-next-textbox:#_x0000_s1052">
                <w:txbxContent>
                  <w:p w:rsidR="002C78E7" w:rsidRPr="003E619B" w:rsidRDefault="002C78E7" w:rsidP="002C78E7">
                    <w:pPr>
                      <w:ind w:firstLineChars="0" w:firstLine="0"/>
                      <w:rPr>
                        <w:sz w:val="20"/>
                      </w:rPr>
                    </w:pPr>
                    <w:r w:rsidRPr="003E619B">
                      <w:rPr>
                        <w:rFonts w:hint="eastAsia"/>
                        <w:sz w:val="20"/>
                      </w:rPr>
                      <w:t>壁材使用</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3" type="#_x0000_t34" style="position:absolute;left:3463;top:3187;width:1;height:1107" o:connectortype="elbow" adj="7776000,-82341,-73980000"/>
            <v:shape id="_x0000_s1054" type="#_x0000_t32" style="position:absolute;left:3808;top:3637;width:375;height:12" o:connectortype="straight">
              <v:stroke endarrow="block"/>
            </v:shape>
            <v:shape id="_x0000_s1055" type="#_x0000_t32" style="position:absolute;left:9764;top:3664;width:419;height:6" o:connectortype="straight">
              <v:stroke endarrow="block"/>
            </v:shape>
            <v:rect id="_x0000_s1056" style="position:absolute;left:10183;top:3252;width:991;height:823">
              <v:textbox style="mso-next-textbox:#_x0000_s1056">
                <w:txbxContent>
                  <w:p w:rsidR="002C78E7" w:rsidRPr="00846220" w:rsidRDefault="002C78E7" w:rsidP="002C78E7">
                    <w:pPr>
                      <w:spacing w:line="240" w:lineRule="auto"/>
                      <w:ind w:firstLineChars="0" w:firstLine="0"/>
                      <w:rPr>
                        <w:sz w:val="22"/>
                      </w:rPr>
                    </w:pPr>
                    <w:r>
                      <w:rPr>
                        <w:rFonts w:hint="eastAsia"/>
                        <w:sz w:val="18"/>
                      </w:rPr>
                      <w:t>包装回收处置</w:t>
                    </w:r>
                  </w:p>
                </w:txbxContent>
              </v:textbox>
            </v:rect>
            <v:shapetype id="_x0000_t202" coordsize="21600,21600" o:spt="202" path="m,l,21600r21600,l21600,xe">
              <v:stroke joinstyle="miter"/>
              <v:path gradientshapeok="t" o:connecttype="rect"/>
            </v:shapetype>
            <v:shape id="_x0000_s1057" type="#_x0000_t202" style="position:absolute;left:6209;top:5657;width:1212;height:517" fillcolor="white [3212]" stroked="f">
              <v:textbox style="mso-next-textbox:#_x0000_s1057">
                <w:txbxContent>
                  <w:p w:rsidR="002C78E7" w:rsidRPr="002E0028" w:rsidRDefault="002C78E7" w:rsidP="002E0028">
                    <w:pPr>
                      <w:ind w:firstLineChars="0" w:firstLine="0"/>
                      <w:rPr>
                        <w:sz w:val="20"/>
                        <w:szCs w:val="20"/>
                      </w:rPr>
                    </w:pPr>
                    <w:r w:rsidRPr="002E0028">
                      <w:rPr>
                        <w:rFonts w:hint="eastAsia"/>
                        <w:sz w:val="20"/>
                        <w:szCs w:val="20"/>
                      </w:rPr>
                      <w:t>系统边界</w:t>
                    </w:r>
                  </w:p>
                </w:txbxContent>
              </v:textbox>
            </v:shape>
            <v:shape id="_x0000_s1058" type="#_x0000_t32" style="position:absolute;left:2247;top:5024;width:1;height:788" o:connectortype="straight"/>
            <v:shape id="_x0000_s1059" type="#_x0000_t32" style="position:absolute;left:5308;top:5115;width:1;height:428;flip:y" o:connectortype="straight"/>
            <v:shape id="_x0000_s1060" type="#_x0000_t32" style="position:absolute;left:8324;top:5114;width:1;height:428;flip:y" o:connectortype="straight"/>
            <v:shape id="_x0000_s1061" type="#_x0000_t32" style="position:absolute;left:9959;top:5099;width:1;height:443;flip:y" o:connectortype="straight"/>
            <v:shape id="_x0000_s1062" type="#_x0000_t32" style="position:absolute;left:2248;top:5528;width:3060;height:17" o:connectortype="straight">
              <v:stroke endarrow="block"/>
            </v:shape>
            <v:shape id="_x0000_s1063" type="#_x0000_t32" style="position:absolute;left:5325;top:5543;width:1539;height:1" o:connectortype="straight">
              <v:stroke endarrow="block"/>
            </v:shape>
            <v:shape id="_x0000_s1064" type="#_x0000_t32" style="position:absolute;left:8384;top:5542;width:1561;height:1" o:connectortype="straight">
              <v:stroke endarrow="block"/>
            </v:shape>
            <v:shape id="_x0000_s1065" type="#_x0000_t32" style="position:absolute;left:11219;top:5039;width:1;height:773;flip:y" o:connectortype="straight"/>
            <v:shape id="_x0000_s1066" type="#_x0000_t32" style="position:absolute;left:9989;top:5527;width:1245;height:18" o:connectortype="straight">
              <v:stroke endarrow="block"/>
            </v:shape>
            <v:shape id="_x0000_s1067" type="#_x0000_t202" style="position:absolute;left:3045;top:4988;width:1592;height:450" fillcolor="white [3212]" stroked="f">
              <v:textbox style="mso-next-textbox:#_x0000_s1067">
                <w:txbxContent>
                  <w:p w:rsidR="002C78E7" w:rsidRPr="003E619B" w:rsidRDefault="002C78E7" w:rsidP="002E0028">
                    <w:pPr>
                      <w:ind w:firstLineChars="0" w:firstLine="0"/>
                      <w:rPr>
                        <w:sz w:val="22"/>
                      </w:rPr>
                    </w:pPr>
                    <w:r w:rsidRPr="003E619B">
                      <w:rPr>
                        <w:rFonts w:hint="eastAsia"/>
                        <w:sz w:val="20"/>
                      </w:rPr>
                      <w:t>原料获取阶段</w:t>
                    </w:r>
                  </w:p>
                </w:txbxContent>
              </v:textbox>
            </v:shape>
            <v:shape id="_x0000_s1068" type="#_x0000_t202" style="position:absolute;left:5653;top:4973;width:1197;height:450" fillcolor="white [3212]" stroked="f">
              <v:textbox style="mso-next-textbox:#_x0000_s1068">
                <w:txbxContent>
                  <w:p w:rsidR="002C78E7" w:rsidRPr="003E619B" w:rsidRDefault="002C78E7" w:rsidP="002E0028">
                    <w:pPr>
                      <w:ind w:firstLineChars="0" w:firstLine="0"/>
                      <w:rPr>
                        <w:sz w:val="20"/>
                      </w:rPr>
                    </w:pPr>
                    <w:r w:rsidRPr="003E619B">
                      <w:rPr>
                        <w:rFonts w:hint="eastAsia"/>
                        <w:sz w:val="20"/>
                      </w:rPr>
                      <w:t>生产阶段</w:t>
                    </w:r>
                  </w:p>
                </w:txbxContent>
              </v:textbox>
            </v:shape>
            <v:shape id="_x0000_s1069" type="#_x0000_t202" style="position:absolute;left:8595;top:4931;width:1169;height:463" fillcolor="white [3212]" stroked="f">
              <v:textbox style="mso-next-textbox:#_x0000_s1069">
                <w:txbxContent>
                  <w:p w:rsidR="002C78E7" w:rsidRPr="003E619B" w:rsidRDefault="002C78E7" w:rsidP="002E0028">
                    <w:pPr>
                      <w:ind w:firstLineChars="0" w:firstLine="0"/>
                      <w:rPr>
                        <w:sz w:val="28"/>
                      </w:rPr>
                    </w:pPr>
                    <w:r w:rsidRPr="003E619B">
                      <w:rPr>
                        <w:rFonts w:hint="eastAsia"/>
                        <w:sz w:val="20"/>
                      </w:rPr>
                      <w:t>使用阶段</w:t>
                    </w:r>
                  </w:p>
                </w:txbxContent>
              </v:textbox>
            </v:shape>
            <v:shape id="_x0000_s1070" type="#_x0000_t202" style="position:absolute;left:9989;top:4925;width:1199;height:535" fillcolor="white [3212]" stroked="f">
              <v:textbox style="mso-next-textbox:#_x0000_s1070">
                <w:txbxContent>
                  <w:p w:rsidR="002C78E7" w:rsidRPr="003E619B" w:rsidRDefault="002C78E7" w:rsidP="002E0028">
                    <w:pPr>
                      <w:ind w:firstLineChars="0" w:firstLine="0"/>
                      <w:rPr>
                        <w:sz w:val="28"/>
                      </w:rPr>
                    </w:pPr>
                    <w:r>
                      <w:rPr>
                        <w:rFonts w:hint="eastAsia"/>
                        <w:sz w:val="20"/>
                      </w:rPr>
                      <w:t>回收处理</w:t>
                    </w:r>
                  </w:p>
                </w:txbxContent>
              </v:textbox>
            </v:shape>
            <v:shape id="_x0000_s1071" type="#_x0000_t32" style="position:absolute;left:6849;top:5114;width:1;height:429" o:connectortype="straight"/>
            <v:shape id="_x0000_s1072" type="#_x0000_t32" style="position:absolute;left:6866;top:5544;width:1503;height:1" o:connectortype="straight">
              <v:stroke endarrow="block"/>
            </v:shape>
            <v:shape id="_x0000_s1073" type="#_x0000_t202" style="position:absolute;left:6958;top:4943;width:1261;height:510" fillcolor="white [3212]" stroked="f">
              <v:textbox style="mso-next-textbox:#_x0000_s1073">
                <w:txbxContent>
                  <w:p w:rsidR="002C78E7" w:rsidRPr="003E619B" w:rsidRDefault="002C78E7" w:rsidP="002E0028">
                    <w:pPr>
                      <w:ind w:firstLineChars="0" w:firstLine="0"/>
                      <w:rPr>
                        <w:sz w:val="18"/>
                        <w:szCs w:val="18"/>
                      </w:rPr>
                    </w:pPr>
                    <w:r w:rsidRPr="003E619B">
                      <w:rPr>
                        <w:rFonts w:hint="eastAsia"/>
                        <w:sz w:val="18"/>
                        <w:szCs w:val="18"/>
                      </w:rPr>
                      <w:t>分配和</w:t>
                    </w:r>
                    <w:r>
                      <w:rPr>
                        <w:rFonts w:hint="eastAsia"/>
                        <w:sz w:val="18"/>
                        <w:szCs w:val="18"/>
                      </w:rPr>
                      <w:t>存储</w:t>
                    </w:r>
                  </w:p>
                </w:txbxContent>
              </v:textbox>
            </v:shape>
            <w10:wrap type="none"/>
            <w10:anchorlock/>
          </v:group>
        </w:pict>
      </w:r>
    </w:p>
    <w:p w:rsidR="005646E2" w:rsidRPr="005646E2" w:rsidRDefault="005646E2" w:rsidP="005646E2">
      <w:pPr>
        <w:pStyle w:val="a3"/>
        <w:spacing w:before="156" w:after="156"/>
        <w:rPr>
          <w:rFonts w:asciiTheme="minorEastAsia" w:eastAsiaTheme="minorEastAsia" w:hAnsiTheme="minorEastAsia"/>
          <w:sz w:val="24"/>
          <w:szCs w:val="24"/>
        </w:rPr>
      </w:pPr>
      <w:r w:rsidRPr="005646E2">
        <w:rPr>
          <w:rFonts w:asciiTheme="minorEastAsia" w:eastAsiaTheme="minorEastAsia" w:hAnsiTheme="minorEastAsia" w:hint="eastAsia"/>
          <w:sz w:val="24"/>
          <w:szCs w:val="24"/>
        </w:rPr>
        <w:t>硅藻泥、贝壳粉装饰壁材产品生命周期系统边界</w:t>
      </w:r>
    </w:p>
    <w:p w:rsidR="005646E2" w:rsidRDefault="005646E2" w:rsidP="005646E2">
      <w:r>
        <w:rPr>
          <w:rFonts w:hint="eastAsia"/>
        </w:rPr>
        <w:t>LCA评价的覆盖时间应在规定的期限内。数据应反映具有代表性的时期（取最近</w:t>
      </w:r>
      <w:r w:rsidR="002E0028">
        <w:rPr>
          <w:rFonts w:hint="eastAsia"/>
        </w:rPr>
        <w:t>1</w:t>
      </w:r>
      <w:r>
        <w:rPr>
          <w:rFonts w:hint="eastAsia"/>
        </w:rPr>
        <w:t>年内有效值）。如果未能取得</w:t>
      </w:r>
      <w:r w:rsidR="002E0028">
        <w:rPr>
          <w:rFonts w:hint="eastAsia"/>
        </w:rPr>
        <w:t>1</w:t>
      </w:r>
      <w:r>
        <w:rPr>
          <w:rFonts w:hint="eastAsia"/>
        </w:rPr>
        <w:t>年内有效值，应做具体说明。</w:t>
      </w:r>
    </w:p>
    <w:p w:rsidR="005646E2" w:rsidRDefault="005646E2" w:rsidP="005646E2">
      <w:r>
        <w:rPr>
          <w:rFonts w:hint="eastAsia"/>
        </w:rPr>
        <w:t>原材料数据</w:t>
      </w:r>
      <w:r w:rsidR="00B02BA9">
        <w:rPr>
          <w:rFonts w:hint="eastAsia"/>
        </w:rPr>
        <w:t>应是</w:t>
      </w:r>
      <w:r>
        <w:rPr>
          <w:rFonts w:hint="eastAsia"/>
        </w:rPr>
        <w:t>与产品的生产和使用的地点/地区。</w:t>
      </w:r>
    </w:p>
    <w:p w:rsidR="005646E2" w:rsidRDefault="005646E2" w:rsidP="005646E2">
      <w:r>
        <w:rPr>
          <w:rFonts w:hint="eastAsia"/>
        </w:rPr>
        <w:t>生产过程数据应是在最终产品的生产中所涉及的地点/地区。</w:t>
      </w:r>
    </w:p>
    <w:p w:rsidR="005646E2" w:rsidRPr="002E0028" w:rsidRDefault="00B02BA9" w:rsidP="002E0028">
      <w:pPr>
        <w:pStyle w:val="aa"/>
        <w:numPr>
          <w:ilvl w:val="0"/>
          <w:numId w:val="9"/>
        </w:numPr>
        <w:ind w:firstLineChars="0"/>
        <w:rPr>
          <w:b/>
        </w:rPr>
      </w:pPr>
      <w:r w:rsidRPr="002E0028">
        <w:rPr>
          <w:rFonts w:hint="eastAsia"/>
          <w:b/>
        </w:rPr>
        <w:t>数据取舍原则</w:t>
      </w:r>
    </w:p>
    <w:p w:rsidR="002E0028" w:rsidRPr="002E0028" w:rsidRDefault="002E0028" w:rsidP="002E0028">
      <w:pPr>
        <w:pStyle w:val="a"/>
        <w:numPr>
          <w:ilvl w:val="0"/>
          <w:numId w:val="0"/>
        </w:numPr>
        <w:spacing w:line="360" w:lineRule="auto"/>
        <w:ind w:leftChars="177" w:left="425" w:firstLineChars="50" w:firstLine="120"/>
        <w:rPr>
          <w:rFonts w:asciiTheme="minorEastAsia" w:eastAsiaTheme="minorEastAsia" w:hAnsiTheme="minorEastAsia"/>
          <w:kern w:val="2"/>
          <w:sz w:val="24"/>
          <w:szCs w:val="24"/>
        </w:rPr>
      </w:pPr>
      <w:r w:rsidRPr="002E0028">
        <w:rPr>
          <w:rFonts w:asciiTheme="minorEastAsia" w:eastAsiaTheme="minorEastAsia" w:hAnsiTheme="minorEastAsia" w:hint="eastAsia"/>
          <w:kern w:val="2"/>
          <w:sz w:val="24"/>
          <w:szCs w:val="24"/>
        </w:rPr>
        <w:t>所涉及的物质（能量）数据的取舍应遵循如下原则：</w:t>
      </w:r>
    </w:p>
    <w:p w:rsidR="002E0028" w:rsidRPr="002E0028" w:rsidRDefault="002E0028" w:rsidP="002E0028">
      <w:pPr>
        <w:pStyle w:val="a"/>
        <w:numPr>
          <w:ilvl w:val="0"/>
          <w:numId w:val="12"/>
        </w:numPr>
        <w:spacing w:line="360" w:lineRule="auto"/>
        <w:rPr>
          <w:rFonts w:asciiTheme="minorEastAsia" w:eastAsiaTheme="minorEastAsia" w:hAnsiTheme="minorEastAsia"/>
          <w:kern w:val="2"/>
          <w:sz w:val="24"/>
          <w:szCs w:val="24"/>
        </w:rPr>
      </w:pPr>
      <w:r w:rsidRPr="002E0028">
        <w:rPr>
          <w:rFonts w:asciiTheme="minorEastAsia" w:eastAsiaTheme="minorEastAsia" w:hAnsiTheme="minorEastAsia"/>
          <w:kern w:val="2"/>
          <w:sz w:val="24"/>
          <w:szCs w:val="24"/>
        </w:rPr>
        <w:t>所有的能源输入均需列出，包括使用的含能废弃物；</w:t>
      </w:r>
    </w:p>
    <w:p w:rsidR="002E0028" w:rsidRPr="002E0028" w:rsidRDefault="002E0028" w:rsidP="002E0028">
      <w:pPr>
        <w:pStyle w:val="a"/>
        <w:numPr>
          <w:ilvl w:val="0"/>
          <w:numId w:val="12"/>
        </w:numPr>
        <w:spacing w:line="360" w:lineRule="auto"/>
        <w:rPr>
          <w:rFonts w:asciiTheme="minorEastAsia" w:eastAsiaTheme="minorEastAsia" w:hAnsiTheme="minorEastAsia"/>
          <w:kern w:val="2"/>
          <w:sz w:val="24"/>
          <w:szCs w:val="24"/>
        </w:rPr>
      </w:pPr>
      <w:r w:rsidRPr="002E0028">
        <w:rPr>
          <w:rFonts w:asciiTheme="minorEastAsia" w:eastAsiaTheme="minorEastAsia" w:hAnsiTheme="minorEastAsia"/>
          <w:kern w:val="2"/>
          <w:sz w:val="24"/>
          <w:szCs w:val="24"/>
        </w:rPr>
        <w:t>应列出主要的原材料及利废原料输入，符合准则可忽略</w:t>
      </w:r>
      <w:r w:rsidRPr="002E0028">
        <w:rPr>
          <w:rFonts w:asciiTheme="minorEastAsia" w:eastAsiaTheme="minorEastAsia" w:hAnsiTheme="minorEastAsia" w:hint="eastAsia"/>
          <w:kern w:val="2"/>
          <w:sz w:val="24"/>
          <w:szCs w:val="24"/>
        </w:rPr>
        <w:t>;</w:t>
      </w:r>
    </w:p>
    <w:p w:rsidR="002E0028" w:rsidRPr="002E0028" w:rsidRDefault="002E0028" w:rsidP="002E0028">
      <w:pPr>
        <w:pStyle w:val="a"/>
        <w:numPr>
          <w:ilvl w:val="0"/>
          <w:numId w:val="12"/>
        </w:numPr>
        <w:spacing w:line="360" w:lineRule="auto"/>
        <w:rPr>
          <w:rFonts w:asciiTheme="minorEastAsia" w:eastAsiaTheme="minorEastAsia" w:hAnsiTheme="minorEastAsia"/>
          <w:kern w:val="2"/>
          <w:sz w:val="24"/>
          <w:szCs w:val="24"/>
        </w:rPr>
      </w:pPr>
      <w:r w:rsidRPr="002E0028">
        <w:rPr>
          <w:rFonts w:asciiTheme="minorEastAsia" w:eastAsiaTheme="minorEastAsia" w:hAnsiTheme="minorEastAsia"/>
          <w:kern w:val="2"/>
          <w:sz w:val="24"/>
          <w:szCs w:val="24"/>
        </w:rPr>
        <w:t>国家或地方相关标准规定的大气、水体、土壤的各种污染物和固体废弃物均需列出；</w:t>
      </w:r>
    </w:p>
    <w:p w:rsidR="002E0028" w:rsidRPr="002E0028" w:rsidRDefault="002E0028" w:rsidP="002E0028">
      <w:pPr>
        <w:pStyle w:val="a"/>
        <w:numPr>
          <w:ilvl w:val="0"/>
          <w:numId w:val="12"/>
        </w:numPr>
        <w:spacing w:line="360" w:lineRule="auto"/>
        <w:rPr>
          <w:rFonts w:asciiTheme="minorEastAsia" w:eastAsiaTheme="minorEastAsia" w:hAnsiTheme="minorEastAsia"/>
          <w:kern w:val="2"/>
          <w:sz w:val="24"/>
          <w:szCs w:val="24"/>
        </w:rPr>
      </w:pPr>
      <w:r w:rsidRPr="002E0028">
        <w:rPr>
          <w:rFonts w:asciiTheme="minorEastAsia" w:eastAsiaTheme="minorEastAsia" w:hAnsiTheme="minorEastAsia"/>
          <w:kern w:val="2"/>
          <w:sz w:val="24"/>
          <w:szCs w:val="24"/>
        </w:rPr>
        <w:t xml:space="preserve"> 任何有毒有害物质均不可忽略；</w:t>
      </w:r>
    </w:p>
    <w:p w:rsidR="002E0028" w:rsidRPr="002E0028" w:rsidRDefault="002E0028" w:rsidP="002E0028">
      <w:pPr>
        <w:pStyle w:val="a"/>
        <w:numPr>
          <w:ilvl w:val="0"/>
          <w:numId w:val="12"/>
        </w:numPr>
        <w:spacing w:line="360" w:lineRule="auto"/>
        <w:rPr>
          <w:rFonts w:asciiTheme="minorEastAsia" w:eastAsiaTheme="minorEastAsia" w:hAnsiTheme="minorEastAsia"/>
          <w:kern w:val="2"/>
          <w:sz w:val="24"/>
          <w:szCs w:val="24"/>
        </w:rPr>
      </w:pPr>
      <w:r w:rsidRPr="002E0028">
        <w:rPr>
          <w:rFonts w:asciiTheme="minorEastAsia" w:eastAsiaTheme="minorEastAsia" w:hAnsiTheme="minorEastAsia"/>
          <w:kern w:val="2"/>
          <w:sz w:val="24"/>
          <w:szCs w:val="24"/>
        </w:rPr>
        <w:t xml:space="preserve"> 忽略的单项物质（能量）流或单元过程对环境影响的贡献均不得超过1%；</w:t>
      </w:r>
    </w:p>
    <w:p w:rsidR="002E0028" w:rsidRPr="002E0028" w:rsidRDefault="002E0028" w:rsidP="002E0028">
      <w:pPr>
        <w:pStyle w:val="a"/>
        <w:numPr>
          <w:ilvl w:val="0"/>
          <w:numId w:val="12"/>
        </w:numPr>
        <w:spacing w:line="360" w:lineRule="auto"/>
        <w:rPr>
          <w:rFonts w:asciiTheme="minorEastAsia" w:eastAsiaTheme="minorEastAsia" w:hAnsiTheme="minorEastAsia"/>
          <w:kern w:val="2"/>
          <w:sz w:val="24"/>
          <w:szCs w:val="24"/>
        </w:rPr>
      </w:pPr>
      <w:r w:rsidRPr="002E0028">
        <w:rPr>
          <w:rFonts w:asciiTheme="minorEastAsia" w:eastAsiaTheme="minorEastAsia" w:hAnsiTheme="minorEastAsia"/>
          <w:kern w:val="2"/>
          <w:sz w:val="24"/>
          <w:szCs w:val="24"/>
        </w:rPr>
        <w:t xml:space="preserve"> 所有忽略的物质（能量）流与单元过程对环境影响贡献总和不超过5%，且应予以说明。</w:t>
      </w:r>
    </w:p>
    <w:p w:rsidR="00B02BA9" w:rsidRPr="00AC1D55" w:rsidRDefault="00B02BA9" w:rsidP="00C80A49">
      <w:pPr>
        <w:pStyle w:val="aa"/>
        <w:numPr>
          <w:ilvl w:val="0"/>
          <w:numId w:val="9"/>
        </w:numPr>
        <w:ind w:left="0" w:firstLineChars="0" w:firstLine="0"/>
      </w:pPr>
      <w:r w:rsidRPr="00AC1D55">
        <w:rPr>
          <w:rFonts w:hint="eastAsia"/>
        </w:rPr>
        <w:lastRenderedPageBreak/>
        <w:t>生命周期清单分析</w:t>
      </w:r>
    </w:p>
    <w:p w:rsidR="008D33A1" w:rsidRDefault="008D33A1" w:rsidP="00C80A49">
      <w:pPr>
        <w:pStyle w:val="ae"/>
        <w:spacing w:line="360" w:lineRule="auto"/>
        <w:ind w:firstLine="480"/>
      </w:pPr>
      <w:r w:rsidRPr="00C80A49">
        <w:rPr>
          <w:rFonts w:hint="eastAsia"/>
          <w:sz w:val="24"/>
        </w:rPr>
        <w:t>编制硅藻土、贝壳粉装饰壁材产品系统边界内的所有材料/能源输入、输出清单，作为产品生命周期评价的依据。</w:t>
      </w:r>
      <w:r w:rsidR="00C80A49" w:rsidRPr="00C80A49">
        <w:rPr>
          <w:rFonts w:hint="eastAsia"/>
          <w:sz w:val="24"/>
        </w:rPr>
        <w:t>所收集的数据进行核实后，利用生命周期评估软件进行数据的分析处理， 用以建立生命周期评价科学完整的计算程序。目前生命周期评价软件有GaBi、 SimaPro、 eBalance等，企业可根据实际情况选择软件。通过建立各个过程单元模块，输入各过程单元的数据，可得到全部输入与输出物质和排放清单，选择表B. 6各个清单因子的量（以kg为单位），为分类评价做准备。</w:t>
      </w:r>
    </w:p>
    <w:p w:rsidR="008D33A1" w:rsidRPr="008D33A1" w:rsidRDefault="008D33A1" w:rsidP="00AC1D55">
      <w:pPr>
        <w:pStyle w:val="aa"/>
        <w:ind w:firstLineChars="0" w:firstLine="0"/>
      </w:pPr>
      <w:r w:rsidRPr="008D33A1">
        <w:rPr>
          <w:rFonts w:hint="eastAsia"/>
        </w:rPr>
        <w:t>应将以下要素纳入数据清单：</w:t>
      </w:r>
    </w:p>
    <w:p w:rsidR="008D33A1" w:rsidRPr="008D33A1" w:rsidRDefault="008D33A1" w:rsidP="00AC1D55">
      <w:pPr>
        <w:pStyle w:val="aa"/>
        <w:numPr>
          <w:ilvl w:val="0"/>
          <w:numId w:val="3"/>
        </w:numPr>
        <w:tabs>
          <w:tab w:val="clear" w:pos="840"/>
        </w:tabs>
        <w:ind w:left="0" w:firstLine="480"/>
      </w:pPr>
      <w:r w:rsidRPr="008D33A1">
        <w:rPr>
          <w:rFonts w:hint="eastAsia"/>
        </w:rPr>
        <w:t>原材料采购和预加工；</w:t>
      </w:r>
    </w:p>
    <w:p w:rsidR="008D33A1" w:rsidRPr="008D33A1" w:rsidRDefault="008D33A1" w:rsidP="00AC1D55">
      <w:pPr>
        <w:pStyle w:val="aa"/>
        <w:numPr>
          <w:ilvl w:val="0"/>
          <w:numId w:val="3"/>
        </w:numPr>
        <w:tabs>
          <w:tab w:val="clear" w:pos="840"/>
        </w:tabs>
        <w:ind w:left="0" w:firstLine="480"/>
      </w:pPr>
      <w:r w:rsidRPr="008D33A1">
        <w:rPr>
          <w:rFonts w:hint="eastAsia"/>
        </w:rPr>
        <w:t>生产；</w:t>
      </w:r>
    </w:p>
    <w:p w:rsidR="008D33A1" w:rsidRPr="008D33A1" w:rsidRDefault="008D33A1" w:rsidP="00AC1D55">
      <w:pPr>
        <w:pStyle w:val="aa"/>
        <w:numPr>
          <w:ilvl w:val="0"/>
          <w:numId w:val="3"/>
        </w:numPr>
        <w:tabs>
          <w:tab w:val="clear" w:pos="840"/>
        </w:tabs>
        <w:ind w:left="0" w:firstLine="480"/>
      </w:pPr>
      <w:r w:rsidRPr="008D33A1">
        <w:rPr>
          <w:rFonts w:hint="eastAsia"/>
        </w:rPr>
        <w:t>产品分配和存储；</w:t>
      </w:r>
    </w:p>
    <w:p w:rsidR="008D33A1" w:rsidRPr="008D33A1" w:rsidRDefault="008D33A1" w:rsidP="00AC1D55">
      <w:pPr>
        <w:pStyle w:val="aa"/>
        <w:numPr>
          <w:ilvl w:val="0"/>
          <w:numId w:val="3"/>
        </w:numPr>
        <w:tabs>
          <w:tab w:val="clear" w:pos="840"/>
        </w:tabs>
        <w:ind w:left="0" w:firstLine="480"/>
      </w:pPr>
      <w:r w:rsidRPr="008D33A1">
        <w:rPr>
          <w:rFonts w:hint="eastAsia"/>
        </w:rPr>
        <w:t>运输；</w:t>
      </w:r>
    </w:p>
    <w:p w:rsidR="008D33A1" w:rsidRPr="008D33A1" w:rsidRDefault="008D33A1" w:rsidP="00AC1D55">
      <w:pPr>
        <w:pStyle w:val="aa"/>
        <w:numPr>
          <w:ilvl w:val="0"/>
          <w:numId w:val="3"/>
        </w:numPr>
        <w:tabs>
          <w:tab w:val="clear" w:pos="840"/>
        </w:tabs>
        <w:ind w:left="0" w:firstLine="480"/>
      </w:pPr>
      <w:r w:rsidRPr="008D33A1">
        <w:rPr>
          <w:rFonts w:hint="eastAsia"/>
        </w:rPr>
        <w:t>使用阶段；</w:t>
      </w:r>
    </w:p>
    <w:p w:rsidR="00C80A49" w:rsidRPr="008D33A1" w:rsidRDefault="008D33A1" w:rsidP="00C80A49">
      <w:pPr>
        <w:pStyle w:val="aa"/>
        <w:numPr>
          <w:ilvl w:val="0"/>
          <w:numId w:val="3"/>
        </w:numPr>
        <w:tabs>
          <w:tab w:val="clear" w:pos="840"/>
        </w:tabs>
        <w:ind w:left="480" w:firstLineChars="0" w:firstLine="0"/>
      </w:pPr>
      <w:r w:rsidRPr="008D33A1">
        <w:rPr>
          <w:rFonts w:hint="eastAsia"/>
        </w:rPr>
        <w:t>寿命终止。</w:t>
      </w:r>
    </w:p>
    <w:p w:rsidR="008D33A1" w:rsidRDefault="00AC1D55" w:rsidP="00C80A49">
      <w:pPr>
        <w:pStyle w:val="aa"/>
        <w:numPr>
          <w:ilvl w:val="0"/>
          <w:numId w:val="9"/>
        </w:numPr>
        <w:ind w:left="0" w:firstLineChars="0" w:firstLine="0"/>
      </w:pPr>
      <w:r>
        <w:rPr>
          <w:rFonts w:hint="eastAsia"/>
        </w:rPr>
        <w:t>生命周期</w:t>
      </w:r>
      <w:r w:rsidR="008D33A1">
        <w:rPr>
          <w:rFonts w:hint="eastAsia"/>
        </w:rPr>
        <w:t>影响评价说明</w:t>
      </w:r>
    </w:p>
    <w:p w:rsidR="008D33A1" w:rsidRDefault="008D33A1" w:rsidP="008D33A1">
      <w:pPr>
        <w:pStyle w:val="aa"/>
        <w:ind w:firstLineChars="236" w:firstLine="566"/>
      </w:pPr>
      <w:r>
        <w:rPr>
          <w:rFonts w:hint="eastAsia"/>
        </w:rPr>
        <w:t>通过建立各个过程单元模块，输入各过程单元的数据，将各个清单因子的量输入到软件中，可得到硅藻泥、贝壳粉装饰壁材的环境影响变化值。</w:t>
      </w:r>
    </w:p>
    <w:p w:rsidR="00C80A49" w:rsidRDefault="00C80A49" w:rsidP="008D33A1">
      <w:pPr>
        <w:pStyle w:val="aa"/>
        <w:ind w:firstLineChars="236" w:firstLine="566"/>
      </w:pPr>
      <w:r>
        <w:rPr>
          <w:rFonts w:hint="eastAsia"/>
        </w:rPr>
        <w:t>编制组根据国内3家规模化生产厂家提供的数据进行了生命周期影响评价分析数据如下：</w:t>
      </w:r>
    </w:p>
    <w:p w:rsidR="0036137C" w:rsidRPr="00E370E6" w:rsidRDefault="0036137C" w:rsidP="0036137C">
      <w:pPr>
        <w:ind w:firstLine="482"/>
        <w:rPr>
          <w:rFonts w:ascii="Times New Roman" w:hAnsi="Times New Roman"/>
          <w:b/>
        </w:rPr>
      </w:pPr>
      <w:r w:rsidRPr="00E370E6">
        <w:rPr>
          <w:rFonts w:ascii="Times New Roman" w:hAnsi="Times New Roman" w:hint="eastAsia"/>
          <w:b/>
        </w:rPr>
        <w:t>数据</w:t>
      </w:r>
      <w:r w:rsidRPr="00E370E6">
        <w:rPr>
          <w:rFonts w:ascii="Times New Roman" w:hAnsi="Times New Roman"/>
          <w:b/>
        </w:rPr>
        <w:t>处理方式：</w:t>
      </w:r>
    </w:p>
    <w:p w:rsidR="0036137C" w:rsidRDefault="0036137C" w:rsidP="0036137C">
      <w:pPr>
        <w:rPr>
          <w:rFonts w:ascii="Times New Roman" w:hAnsi="Times New Roman"/>
        </w:rPr>
      </w:pPr>
      <w:r>
        <w:rPr>
          <w:rFonts w:ascii="Times New Roman" w:hAnsi="Times New Roman" w:hint="eastAsia"/>
        </w:rPr>
        <w:t>处理</w:t>
      </w:r>
      <w:r>
        <w:rPr>
          <w:rFonts w:ascii="Times New Roman" w:hAnsi="Times New Roman"/>
        </w:rPr>
        <w:t>软件：</w:t>
      </w:r>
      <w:proofErr w:type="spellStart"/>
      <w:r>
        <w:rPr>
          <w:rFonts w:ascii="Times New Roman" w:hAnsi="Times New Roman"/>
        </w:rPr>
        <w:t>simapro</w:t>
      </w:r>
      <w:proofErr w:type="spellEnd"/>
    </w:p>
    <w:p w:rsidR="0036137C" w:rsidRDefault="0036137C" w:rsidP="0036137C">
      <w:pPr>
        <w:rPr>
          <w:rFonts w:ascii="Times New Roman" w:hAnsi="Times New Roman"/>
        </w:rPr>
      </w:pPr>
      <w:r>
        <w:rPr>
          <w:rFonts w:ascii="Times New Roman" w:hAnsi="Times New Roman" w:hint="eastAsia"/>
        </w:rPr>
        <w:t>处理方法</w:t>
      </w:r>
      <w:r>
        <w:rPr>
          <w:rFonts w:ascii="Times New Roman" w:hAnsi="Times New Roman"/>
        </w:rPr>
        <w:t>：</w:t>
      </w:r>
      <w:proofErr w:type="spellStart"/>
      <w:r w:rsidRPr="00E370E6">
        <w:rPr>
          <w:rFonts w:ascii="Times New Roman" w:hAnsi="Times New Roman"/>
        </w:rPr>
        <w:t>ReCiPe</w:t>
      </w:r>
      <w:proofErr w:type="spellEnd"/>
      <w:r w:rsidRPr="00E370E6">
        <w:rPr>
          <w:rFonts w:ascii="Times New Roman" w:hAnsi="Times New Roman"/>
        </w:rPr>
        <w:t xml:space="preserve"> 2016 Endpoint (H) V1.03 / World (2010) H/A</w:t>
      </w:r>
    </w:p>
    <w:p w:rsidR="0036137C" w:rsidRDefault="0036137C" w:rsidP="0036137C">
      <w:pPr>
        <w:rPr>
          <w:rFonts w:ascii="Times New Roman" w:hAnsi="Times New Roman"/>
        </w:rPr>
      </w:pPr>
      <w:r>
        <w:rPr>
          <w:rFonts w:ascii="Times New Roman" w:hAnsi="Times New Roman" w:hint="eastAsia"/>
        </w:rPr>
        <w:t>功能单位</w:t>
      </w:r>
      <w:r>
        <w:rPr>
          <w:rFonts w:ascii="Times New Roman" w:hAnsi="Times New Roman"/>
        </w:rPr>
        <w:t>：</w:t>
      </w:r>
      <w:r>
        <w:rPr>
          <w:rFonts w:ascii="Times New Roman" w:hAnsi="Times New Roman"/>
        </w:rPr>
        <w:t>1t</w:t>
      </w:r>
      <w:r>
        <w:rPr>
          <w:rFonts w:ascii="Times New Roman" w:hAnsi="Times New Roman" w:hint="eastAsia"/>
        </w:rPr>
        <w:t>硅藻泥</w:t>
      </w:r>
    </w:p>
    <w:p w:rsidR="003541AA" w:rsidRDefault="003541AA" w:rsidP="008D33A1">
      <w:pPr>
        <w:pStyle w:val="aa"/>
        <w:ind w:firstLineChars="236" w:firstLine="566"/>
      </w:pPr>
    </w:p>
    <w:p w:rsidR="003541AA" w:rsidRDefault="003541AA" w:rsidP="008D33A1">
      <w:pPr>
        <w:pStyle w:val="aa"/>
        <w:ind w:firstLineChars="236" w:firstLine="566"/>
      </w:pPr>
    </w:p>
    <w:p w:rsidR="003541AA" w:rsidRDefault="003541AA" w:rsidP="008D33A1">
      <w:pPr>
        <w:pStyle w:val="aa"/>
        <w:ind w:firstLineChars="236" w:firstLine="566"/>
      </w:pPr>
    </w:p>
    <w:p w:rsidR="003541AA" w:rsidRDefault="003541AA" w:rsidP="008D33A1">
      <w:pPr>
        <w:pStyle w:val="aa"/>
        <w:ind w:firstLineChars="236" w:firstLine="566"/>
      </w:pPr>
    </w:p>
    <w:p w:rsidR="003541AA" w:rsidRDefault="003541AA">
      <w:pPr>
        <w:widowControl/>
        <w:spacing w:line="240" w:lineRule="auto"/>
        <w:ind w:firstLineChars="0" w:firstLine="0"/>
        <w:jc w:val="left"/>
        <w:sectPr w:rsidR="003541AA" w:rsidSect="00737BE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p>
    <w:p w:rsidR="003541AA" w:rsidRDefault="003541AA" w:rsidP="003541AA">
      <w:pPr>
        <w:pStyle w:val="aa"/>
        <w:ind w:firstLineChars="236" w:firstLine="566"/>
      </w:pPr>
      <w:r>
        <w:rPr>
          <w:rFonts w:hint="eastAsia"/>
        </w:rPr>
        <w:lastRenderedPageBreak/>
        <w:t>一、A</w:t>
      </w:r>
      <w:r w:rsidR="00D0091B">
        <w:rPr>
          <w:rFonts w:hint="eastAsia"/>
        </w:rPr>
        <w:t>企业</w:t>
      </w:r>
    </w:p>
    <w:tbl>
      <w:tblPr>
        <w:tblW w:w="140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0"/>
        <w:gridCol w:w="770"/>
        <w:gridCol w:w="955"/>
        <w:gridCol w:w="1283"/>
        <w:gridCol w:w="1284"/>
        <w:gridCol w:w="1496"/>
        <w:gridCol w:w="1284"/>
        <w:gridCol w:w="1284"/>
        <w:gridCol w:w="1071"/>
        <w:gridCol w:w="1071"/>
        <w:gridCol w:w="1071"/>
      </w:tblGrid>
      <w:tr w:rsidR="003541AA" w:rsidRPr="003541AA" w:rsidTr="003541AA">
        <w:trPr>
          <w:trHeight w:val="20"/>
        </w:trPr>
        <w:tc>
          <w:tcPr>
            <w:tcW w:w="2490" w:type="dxa"/>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影响类别</w:t>
            </w:r>
          </w:p>
        </w:tc>
        <w:tc>
          <w:tcPr>
            <w:tcW w:w="770" w:type="dxa"/>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单位</w:t>
            </w:r>
          </w:p>
        </w:tc>
        <w:tc>
          <w:tcPr>
            <w:tcW w:w="0" w:type="auto"/>
            <w:shd w:val="clear" w:color="auto" w:fill="auto"/>
            <w:noWrap/>
            <w:vAlign w:val="center"/>
            <w:hideMark/>
          </w:tcPr>
          <w:p w:rsidR="003541AA" w:rsidRPr="003541AA" w:rsidRDefault="003541AA" w:rsidP="003541AA">
            <w:pPr>
              <w:widowControl/>
              <w:spacing w:line="240" w:lineRule="auto"/>
              <w:ind w:firstLineChars="0" w:hanging="108"/>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共计</w:t>
            </w:r>
          </w:p>
        </w:tc>
        <w:tc>
          <w:tcPr>
            <w:tcW w:w="0" w:type="auto"/>
            <w:shd w:val="clear" w:color="auto" w:fill="B4C6E7"/>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硅藻泥生产</w:t>
            </w:r>
          </w:p>
        </w:tc>
        <w:tc>
          <w:tcPr>
            <w:tcW w:w="0" w:type="auto"/>
            <w:shd w:val="clear" w:color="auto" w:fill="B4C6E7"/>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硅藻土开采</w:t>
            </w:r>
          </w:p>
        </w:tc>
        <w:tc>
          <w:tcPr>
            <w:tcW w:w="0" w:type="auto"/>
            <w:shd w:val="clear" w:color="auto" w:fill="B4C6E7"/>
            <w:noWrap/>
            <w:vAlign w:val="center"/>
            <w:hideMark/>
          </w:tcPr>
          <w:p w:rsidR="003541AA" w:rsidRPr="003541AA" w:rsidRDefault="00D0091B" w:rsidP="003541AA">
            <w:pPr>
              <w:widowControl/>
              <w:spacing w:line="240" w:lineRule="auto"/>
              <w:ind w:firstLineChars="0" w:firstLine="0"/>
              <w:jc w:val="center"/>
              <w:rPr>
                <w:rFonts w:ascii="Times New Roman" w:eastAsia="宋体" w:hAnsi="Times New Roman"/>
                <w:b/>
                <w:color w:val="000000"/>
                <w:kern w:val="0"/>
                <w:sz w:val="21"/>
                <w:szCs w:val="21"/>
              </w:rPr>
            </w:pPr>
            <w:r>
              <w:rPr>
                <w:rFonts w:ascii="Times New Roman" w:eastAsia="宋体" w:hAnsi="Times New Roman" w:hint="eastAsia"/>
                <w:b/>
                <w:color w:val="000000"/>
                <w:kern w:val="0"/>
                <w:sz w:val="21"/>
                <w:szCs w:val="21"/>
              </w:rPr>
              <w:t>氢氧化钙</w:t>
            </w:r>
            <w:r w:rsidR="003541AA" w:rsidRPr="003541AA">
              <w:rPr>
                <w:rFonts w:ascii="Times New Roman" w:eastAsia="宋体" w:hAnsi="Times New Roman"/>
                <w:b/>
                <w:color w:val="000000"/>
                <w:kern w:val="0"/>
                <w:sz w:val="21"/>
                <w:szCs w:val="21"/>
              </w:rPr>
              <w:t>生产</w:t>
            </w:r>
          </w:p>
        </w:tc>
        <w:tc>
          <w:tcPr>
            <w:tcW w:w="0" w:type="auto"/>
            <w:shd w:val="clear" w:color="auto" w:fill="B4C6E7"/>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石英砂开采</w:t>
            </w:r>
          </w:p>
        </w:tc>
        <w:tc>
          <w:tcPr>
            <w:tcW w:w="0" w:type="auto"/>
            <w:shd w:val="clear" w:color="auto" w:fill="B4C6E7"/>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天然气生产</w:t>
            </w:r>
          </w:p>
        </w:tc>
        <w:tc>
          <w:tcPr>
            <w:tcW w:w="0" w:type="auto"/>
            <w:shd w:val="clear" w:color="auto" w:fill="B4C6E7"/>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柴油生产</w:t>
            </w:r>
          </w:p>
        </w:tc>
        <w:tc>
          <w:tcPr>
            <w:tcW w:w="0" w:type="auto"/>
            <w:shd w:val="clear" w:color="auto" w:fill="B4C6E7"/>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原料运输</w:t>
            </w:r>
          </w:p>
        </w:tc>
        <w:tc>
          <w:tcPr>
            <w:tcW w:w="0" w:type="auto"/>
            <w:shd w:val="clear" w:color="auto" w:fill="B4C6E7"/>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电力生产</w:t>
            </w:r>
          </w:p>
        </w:tc>
      </w:tr>
      <w:tr w:rsidR="003541AA" w:rsidRPr="003541AA" w:rsidTr="003541AA">
        <w:trPr>
          <w:trHeight w:val="20"/>
        </w:trPr>
        <w:tc>
          <w:tcPr>
            <w:tcW w:w="2490" w:type="dxa"/>
            <w:shd w:val="clear" w:color="auto" w:fill="FBE4D5"/>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共计</w:t>
            </w:r>
          </w:p>
        </w:tc>
        <w:tc>
          <w:tcPr>
            <w:tcW w:w="770" w:type="dxa"/>
            <w:shd w:val="clear" w:color="auto" w:fill="FBE4D5"/>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w:t>
            </w:r>
          </w:p>
        </w:tc>
        <w:tc>
          <w:tcPr>
            <w:tcW w:w="0" w:type="auto"/>
            <w:shd w:val="clear" w:color="auto" w:fill="FBE4D5"/>
            <w:noWrap/>
            <w:vAlign w:val="center"/>
            <w:hideMark/>
          </w:tcPr>
          <w:p w:rsidR="003541AA" w:rsidRPr="003541AA" w:rsidRDefault="003541AA" w:rsidP="003541AA">
            <w:pPr>
              <w:widowControl/>
              <w:spacing w:line="240" w:lineRule="auto"/>
              <w:ind w:firstLineChars="0" w:hanging="108"/>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100%</w:t>
            </w:r>
          </w:p>
        </w:tc>
        <w:tc>
          <w:tcPr>
            <w:tcW w:w="0" w:type="auto"/>
            <w:shd w:val="clear" w:color="auto" w:fill="B4C6E7"/>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5.30E+00</w:t>
            </w:r>
          </w:p>
        </w:tc>
        <w:tc>
          <w:tcPr>
            <w:tcW w:w="0" w:type="auto"/>
            <w:shd w:val="clear" w:color="auto" w:fill="B4C6E7"/>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2.31E+00</w:t>
            </w:r>
          </w:p>
        </w:tc>
        <w:tc>
          <w:tcPr>
            <w:tcW w:w="0" w:type="auto"/>
            <w:shd w:val="clear" w:color="auto" w:fill="B4C6E7"/>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3.47E+00</w:t>
            </w:r>
          </w:p>
        </w:tc>
        <w:tc>
          <w:tcPr>
            <w:tcW w:w="0" w:type="auto"/>
            <w:shd w:val="clear" w:color="auto" w:fill="B4C6E7"/>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2.97E+00</w:t>
            </w:r>
          </w:p>
        </w:tc>
        <w:tc>
          <w:tcPr>
            <w:tcW w:w="0" w:type="auto"/>
            <w:shd w:val="clear" w:color="auto" w:fill="B4C6E7"/>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7.05E-01</w:t>
            </w:r>
          </w:p>
        </w:tc>
        <w:tc>
          <w:tcPr>
            <w:tcW w:w="0" w:type="auto"/>
            <w:shd w:val="clear" w:color="auto" w:fill="B4C6E7"/>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1.45E-01</w:t>
            </w:r>
          </w:p>
        </w:tc>
        <w:tc>
          <w:tcPr>
            <w:tcW w:w="0" w:type="auto"/>
            <w:shd w:val="clear" w:color="auto" w:fill="B4C6E7"/>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7.09E+01</w:t>
            </w:r>
          </w:p>
        </w:tc>
        <w:tc>
          <w:tcPr>
            <w:tcW w:w="0" w:type="auto"/>
            <w:shd w:val="clear" w:color="auto" w:fill="B4C6E7"/>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1.42E+01</w:t>
            </w:r>
          </w:p>
        </w:tc>
      </w:tr>
      <w:tr w:rsidR="003541AA" w:rsidRPr="003541AA" w:rsidTr="003541AA">
        <w:trPr>
          <w:trHeight w:val="20"/>
        </w:trPr>
        <w:tc>
          <w:tcPr>
            <w:tcW w:w="2490" w:type="dxa"/>
            <w:shd w:val="clear" w:color="auto" w:fill="FBE4D5"/>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水资源消耗</w:t>
            </w:r>
          </w:p>
        </w:tc>
        <w:tc>
          <w:tcPr>
            <w:tcW w:w="770" w:type="dxa"/>
            <w:shd w:val="clear" w:color="auto" w:fill="FBE4D5"/>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w:t>
            </w:r>
          </w:p>
        </w:tc>
        <w:tc>
          <w:tcPr>
            <w:tcW w:w="0" w:type="auto"/>
            <w:shd w:val="clear" w:color="auto" w:fill="FBE4D5"/>
            <w:noWrap/>
            <w:vAlign w:val="center"/>
            <w:hideMark/>
          </w:tcPr>
          <w:p w:rsidR="003541AA" w:rsidRPr="003541AA" w:rsidRDefault="003541AA" w:rsidP="003541AA">
            <w:pPr>
              <w:widowControl/>
              <w:spacing w:line="240" w:lineRule="auto"/>
              <w:ind w:firstLineChars="0" w:hanging="108"/>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5.24E+01</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1.17E-01</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7.41E-02</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8.04E-02</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9.52E-02</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2.48E-04</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1.13E-03</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4.61E+01</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5.94E+00</w:t>
            </w:r>
          </w:p>
        </w:tc>
      </w:tr>
      <w:tr w:rsidR="003541AA" w:rsidRPr="003541AA" w:rsidTr="003541AA">
        <w:trPr>
          <w:trHeight w:val="20"/>
        </w:trPr>
        <w:tc>
          <w:tcPr>
            <w:tcW w:w="2490" w:type="dxa"/>
            <w:shd w:val="clear" w:color="auto" w:fill="FBE4D5"/>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全球变暖</w:t>
            </w:r>
          </w:p>
        </w:tc>
        <w:tc>
          <w:tcPr>
            <w:tcW w:w="770" w:type="dxa"/>
            <w:shd w:val="clear" w:color="auto" w:fill="FBE4D5"/>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w:t>
            </w:r>
          </w:p>
        </w:tc>
        <w:tc>
          <w:tcPr>
            <w:tcW w:w="0" w:type="auto"/>
            <w:shd w:val="clear" w:color="auto" w:fill="FBE4D5"/>
            <w:noWrap/>
            <w:vAlign w:val="center"/>
            <w:hideMark/>
          </w:tcPr>
          <w:p w:rsidR="003541AA" w:rsidRPr="003541AA" w:rsidRDefault="003541AA" w:rsidP="003541AA">
            <w:pPr>
              <w:widowControl/>
              <w:spacing w:line="240" w:lineRule="auto"/>
              <w:ind w:firstLineChars="0" w:hanging="108"/>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2.70E+01</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3.70E+00</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8.54E-01</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1.33E+00</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1.10E+00</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4.36E-01</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4.22E-02</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1.46E+01</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4.87E+00</w:t>
            </w:r>
          </w:p>
        </w:tc>
      </w:tr>
      <w:tr w:rsidR="003541AA" w:rsidRPr="003541AA" w:rsidTr="003541AA">
        <w:trPr>
          <w:trHeight w:val="20"/>
        </w:trPr>
        <w:tc>
          <w:tcPr>
            <w:tcW w:w="2490" w:type="dxa"/>
            <w:shd w:val="clear" w:color="auto" w:fill="FBE4D5"/>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颗粒物形成</w:t>
            </w:r>
          </w:p>
        </w:tc>
        <w:tc>
          <w:tcPr>
            <w:tcW w:w="770" w:type="dxa"/>
            <w:shd w:val="clear" w:color="auto" w:fill="FBE4D5"/>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w:t>
            </w:r>
          </w:p>
        </w:tc>
        <w:tc>
          <w:tcPr>
            <w:tcW w:w="0" w:type="auto"/>
            <w:shd w:val="clear" w:color="auto" w:fill="FBE4D5"/>
            <w:noWrap/>
            <w:vAlign w:val="center"/>
            <w:hideMark/>
          </w:tcPr>
          <w:p w:rsidR="003541AA" w:rsidRPr="003541AA" w:rsidRDefault="003541AA" w:rsidP="003541AA">
            <w:pPr>
              <w:widowControl/>
              <w:spacing w:line="240" w:lineRule="auto"/>
              <w:ind w:firstLineChars="0" w:hanging="108"/>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1.66E+01</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1.40E+00</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1.09E+00</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1.68E+00</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1.40E+00</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4.66E-02</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7.50E-02</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7.67E+00</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3.20E+00</w:t>
            </w:r>
          </w:p>
        </w:tc>
      </w:tr>
      <w:tr w:rsidR="003541AA" w:rsidRPr="003541AA" w:rsidTr="003541AA">
        <w:trPr>
          <w:trHeight w:val="20"/>
        </w:trPr>
        <w:tc>
          <w:tcPr>
            <w:tcW w:w="2490" w:type="dxa"/>
            <w:shd w:val="clear" w:color="auto" w:fill="FBE4D5"/>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人体毒性</w:t>
            </w:r>
            <w:r w:rsidRPr="003541AA">
              <w:rPr>
                <w:rFonts w:ascii="Times New Roman" w:eastAsia="宋体" w:hAnsi="Times New Roman"/>
                <w:b/>
                <w:color w:val="000000"/>
                <w:kern w:val="0"/>
                <w:sz w:val="21"/>
                <w:szCs w:val="21"/>
              </w:rPr>
              <w:t>-</w:t>
            </w:r>
            <w:r w:rsidRPr="003541AA">
              <w:rPr>
                <w:rFonts w:ascii="Times New Roman" w:eastAsia="宋体" w:hAnsi="Times New Roman"/>
                <w:b/>
                <w:color w:val="000000"/>
                <w:kern w:val="0"/>
                <w:sz w:val="21"/>
                <w:szCs w:val="21"/>
              </w:rPr>
              <w:t>致癌损害</w:t>
            </w:r>
          </w:p>
        </w:tc>
        <w:tc>
          <w:tcPr>
            <w:tcW w:w="770" w:type="dxa"/>
            <w:shd w:val="clear" w:color="auto" w:fill="FBE4D5"/>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w:t>
            </w:r>
          </w:p>
        </w:tc>
        <w:tc>
          <w:tcPr>
            <w:tcW w:w="0" w:type="auto"/>
            <w:shd w:val="clear" w:color="auto" w:fill="FBE4D5"/>
            <w:noWrap/>
            <w:vAlign w:val="center"/>
            <w:hideMark/>
          </w:tcPr>
          <w:p w:rsidR="003541AA" w:rsidRPr="003541AA" w:rsidRDefault="003541AA" w:rsidP="003541AA">
            <w:pPr>
              <w:widowControl/>
              <w:spacing w:line="240" w:lineRule="auto"/>
              <w:ind w:firstLineChars="0" w:hanging="108"/>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2.12E+00</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2.52E-05</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8.18E-02</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1.39E-01</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1.05E-01</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4.10E-03</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2.88E-03</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1.78E+00</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4.35E-03</w:t>
            </w:r>
          </w:p>
        </w:tc>
      </w:tr>
      <w:tr w:rsidR="003541AA" w:rsidRPr="003541AA" w:rsidTr="003541AA">
        <w:trPr>
          <w:trHeight w:val="20"/>
        </w:trPr>
        <w:tc>
          <w:tcPr>
            <w:tcW w:w="2490" w:type="dxa"/>
            <w:shd w:val="clear" w:color="auto" w:fill="FBE4D5"/>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人体毒性</w:t>
            </w:r>
            <w:r w:rsidRPr="003541AA">
              <w:rPr>
                <w:rFonts w:ascii="Times New Roman" w:eastAsia="宋体" w:hAnsi="Times New Roman"/>
                <w:b/>
                <w:color w:val="000000"/>
                <w:kern w:val="0"/>
                <w:sz w:val="21"/>
                <w:szCs w:val="21"/>
              </w:rPr>
              <w:t>-</w:t>
            </w:r>
            <w:r w:rsidRPr="003541AA">
              <w:rPr>
                <w:rFonts w:ascii="Times New Roman" w:eastAsia="宋体" w:hAnsi="Times New Roman"/>
                <w:b/>
                <w:color w:val="000000"/>
                <w:kern w:val="0"/>
                <w:sz w:val="21"/>
                <w:szCs w:val="21"/>
              </w:rPr>
              <w:t>非致癌损害</w:t>
            </w:r>
          </w:p>
        </w:tc>
        <w:tc>
          <w:tcPr>
            <w:tcW w:w="770" w:type="dxa"/>
            <w:shd w:val="clear" w:color="auto" w:fill="FBE4D5"/>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w:t>
            </w:r>
          </w:p>
        </w:tc>
        <w:tc>
          <w:tcPr>
            <w:tcW w:w="0" w:type="auto"/>
            <w:shd w:val="clear" w:color="auto" w:fill="FBE4D5"/>
            <w:noWrap/>
            <w:vAlign w:val="center"/>
            <w:hideMark/>
          </w:tcPr>
          <w:p w:rsidR="003541AA" w:rsidRPr="003541AA" w:rsidRDefault="003541AA" w:rsidP="003541AA">
            <w:pPr>
              <w:widowControl/>
              <w:spacing w:line="240" w:lineRule="auto"/>
              <w:ind w:firstLineChars="0" w:hanging="108"/>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5.68E-01</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4.25E-04</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1.14E-01</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1.13E-01</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1.47E-01</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5.50E-02</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2.68E-03</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1.15E-01</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2.13E-02</w:t>
            </w:r>
          </w:p>
        </w:tc>
      </w:tr>
      <w:tr w:rsidR="003541AA" w:rsidRPr="003541AA" w:rsidTr="003541AA">
        <w:trPr>
          <w:trHeight w:val="20"/>
        </w:trPr>
        <w:tc>
          <w:tcPr>
            <w:tcW w:w="2490" w:type="dxa"/>
            <w:shd w:val="clear" w:color="auto" w:fill="FBE4D5"/>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陆地生态系统酸化</w:t>
            </w:r>
          </w:p>
        </w:tc>
        <w:tc>
          <w:tcPr>
            <w:tcW w:w="770" w:type="dxa"/>
            <w:shd w:val="clear" w:color="auto" w:fill="FBE4D5"/>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w:t>
            </w:r>
          </w:p>
        </w:tc>
        <w:tc>
          <w:tcPr>
            <w:tcW w:w="0" w:type="auto"/>
            <w:shd w:val="clear" w:color="auto" w:fill="FBE4D5"/>
            <w:noWrap/>
            <w:vAlign w:val="center"/>
            <w:hideMark/>
          </w:tcPr>
          <w:p w:rsidR="003541AA" w:rsidRPr="003541AA" w:rsidRDefault="003541AA" w:rsidP="003541AA">
            <w:pPr>
              <w:widowControl/>
              <w:spacing w:line="240" w:lineRule="auto"/>
              <w:ind w:firstLineChars="0" w:hanging="108"/>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5.02E-01</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4.82E-02</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3.14E-02</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3.95E-02</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4.03E-02</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9.42E-04</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2.45E-03</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2.30E-01</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1.10E-01</w:t>
            </w:r>
          </w:p>
        </w:tc>
      </w:tr>
      <w:tr w:rsidR="003541AA" w:rsidRPr="003541AA" w:rsidTr="003541AA">
        <w:trPr>
          <w:trHeight w:val="20"/>
        </w:trPr>
        <w:tc>
          <w:tcPr>
            <w:tcW w:w="2490" w:type="dxa"/>
            <w:shd w:val="clear" w:color="auto" w:fill="FBE4D5"/>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化石能源耗竭</w:t>
            </w:r>
          </w:p>
        </w:tc>
        <w:tc>
          <w:tcPr>
            <w:tcW w:w="770" w:type="dxa"/>
            <w:shd w:val="clear" w:color="auto" w:fill="FBE4D5"/>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w:t>
            </w:r>
          </w:p>
        </w:tc>
        <w:tc>
          <w:tcPr>
            <w:tcW w:w="0" w:type="auto"/>
            <w:shd w:val="clear" w:color="auto" w:fill="FBE4D5"/>
            <w:noWrap/>
            <w:vAlign w:val="center"/>
            <w:hideMark/>
          </w:tcPr>
          <w:p w:rsidR="003541AA" w:rsidRPr="003541AA" w:rsidRDefault="003541AA" w:rsidP="003541AA">
            <w:pPr>
              <w:widowControl/>
              <w:spacing w:line="240" w:lineRule="auto"/>
              <w:ind w:firstLineChars="0" w:hanging="108"/>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3.76E-01</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0.00E+00</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2.59E-02</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3.91E-02</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3.33E-02</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1.61E-01</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1.79E-02</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0.00E+00</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9.89E-02</w:t>
            </w:r>
          </w:p>
        </w:tc>
      </w:tr>
      <w:tr w:rsidR="003541AA" w:rsidRPr="003541AA" w:rsidTr="003541AA">
        <w:trPr>
          <w:trHeight w:val="20"/>
        </w:trPr>
        <w:tc>
          <w:tcPr>
            <w:tcW w:w="2490" w:type="dxa"/>
            <w:shd w:val="clear" w:color="auto" w:fill="FBE4D5"/>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臭氧形成</w:t>
            </w:r>
          </w:p>
        </w:tc>
        <w:tc>
          <w:tcPr>
            <w:tcW w:w="770" w:type="dxa"/>
            <w:shd w:val="clear" w:color="auto" w:fill="FBE4D5"/>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w:t>
            </w:r>
          </w:p>
        </w:tc>
        <w:tc>
          <w:tcPr>
            <w:tcW w:w="0" w:type="auto"/>
            <w:shd w:val="clear" w:color="auto" w:fill="FBE4D5"/>
            <w:noWrap/>
            <w:vAlign w:val="center"/>
            <w:hideMark/>
          </w:tcPr>
          <w:p w:rsidR="003541AA" w:rsidRPr="003541AA" w:rsidRDefault="003541AA" w:rsidP="003541AA">
            <w:pPr>
              <w:widowControl/>
              <w:spacing w:line="240" w:lineRule="auto"/>
              <w:ind w:firstLineChars="0" w:hanging="108"/>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3.67E-01</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3.09E-02</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1.76E-02</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2.12E-02</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2.27E-02</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4.25E-04</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8.08E-04</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2.73E-01</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6.01E-04</w:t>
            </w:r>
          </w:p>
        </w:tc>
      </w:tr>
      <w:tr w:rsidR="003541AA" w:rsidRPr="003541AA" w:rsidTr="003541AA">
        <w:trPr>
          <w:trHeight w:val="20"/>
        </w:trPr>
        <w:tc>
          <w:tcPr>
            <w:tcW w:w="2490" w:type="dxa"/>
            <w:shd w:val="clear" w:color="auto" w:fill="FBE4D5"/>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土地使用</w:t>
            </w:r>
          </w:p>
        </w:tc>
        <w:tc>
          <w:tcPr>
            <w:tcW w:w="770" w:type="dxa"/>
            <w:shd w:val="clear" w:color="auto" w:fill="FBE4D5"/>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w:t>
            </w:r>
          </w:p>
        </w:tc>
        <w:tc>
          <w:tcPr>
            <w:tcW w:w="0" w:type="auto"/>
            <w:shd w:val="clear" w:color="auto" w:fill="FBE4D5"/>
            <w:noWrap/>
            <w:vAlign w:val="center"/>
            <w:hideMark/>
          </w:tcPr>
          <w:p w:rsidR="003541AA" w:rsidRPr="003541AA" w:rsidRDefault="003541AA" w:rsidP="003541AA">
            <w:pPr>
              <w:widowControl/>
              <w:spacing w:line="240" w:lineRule="auto"/>
              <w:ind w:firstLineChars="0" w:hanging="108"/>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8.53E-02</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0.00E+00</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1.10E-02</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7.36E-03</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1.41E-02</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1.03E-04</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1.45E-04</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4.13E-02</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1.13E-02</w:t>
            </w:r>
          </w:p>
        </w:tc>
      </w:tr>
      <w:tr w:rsidR="003541AA" w:rsidRPr="003541AA" w:rsidTr="003541AA">
        <w:trPr>
          <w:trHeight w:val="20"/>
        </w:trPr>
        <w:tc>
          <w:tcPr>
            <w:tcW w:w="2490" w:type="dxa"/>
            <w:shd w:val="clear" w:color="auto" w:fill="FBE4D5"/>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淡水生态系统富营养化</w:t>
            </w:r>
          </w:p>
        </w:tc>
        <w:tc>
          <w:tcPr>
            <w:tcW w:w="770" w:type="dxa"/>
            <w:shd w:val="clear" w:color="auto" w:fill="FBE4D5"/>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w:t>
            </w:r>
          </w:p>
        </w:tc>
        <w:tc>
          <w:tcPr>
            <w:tcW w:w="0" w:type="auto"/>
            <w:shd w:val="clear" w:color="auto" w:fill="FBE4D5"/>
            <w:noWrap/>
            <w:vAlign w:val="center"/>
            <w:hideMark/>
          </w:tcPr>
          <w:p w:rsidR="003541AA" w:rsidRPr="003541AA" w:rsidRDefault="003541AA" w:rsidP="003541AA">
            <w:pPr>
              <w:widowControl/>
              <w:spacing w:line="240" w:lineRule="auto"/>
              <w:ind w:firstLineChars="0" w:hanging="108"/>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4.67E-02</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0.00E+00</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4.65E-03</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7.75E-03</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5.98E-03</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3.34E-04</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1.09E-04</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2.79E-02</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5.67E-06</w:t>
            </w:r>
          </w:p>
        </w:tc>
      </w:tr>
      <w:tr w:rsidR="003541AA" w:rsidRPr="003541AA" w:rsidTr="003541AA">
        <w:trPr>
          <w:trHeight w:val="20"/>
        </w:trPr>
        <w:tc>
          <w:tcPr>
            <w:tcW w:w="2490" w:type="dxa"/>
            <w:shd w:val="clear" w:color="auto" w:fill="FBE4D5"/>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陆地生态系统毒性</w:t>
            </w:r>
          </w:p>
        </w:tc>
        <w:tc>
          <w:tcPr>
            <w:tcW w:w="770" w:type="dxa"/>
            <w:shd w:val="clear" w:color="auto" w:fill="FBE4D5"/>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w:t>
            </w:r>
          </w:p>
        </w:tc>
        <w:tc>
          <w:tcPr>
            <w:tcW w:w="0" w:type="auto"/>
            <w:shd w:val="clear" w:color="auto" w:fill="FBE4D5"/>
            <w:noWrap/>
            <w:vAlign w:val="center"/>
            <w:hideMark/>
          </w:tcPr>
          <w:p w:rsidR="003541AA" w:rsidRPr="003541AA" w:rsidRDefault="003541AA" w:rsidP="003541AA">
            <w:pPr>
              <w:widowControl/>
              <w:spacing w:line="240" w:lineRule="auto"/>
              <w:ind w:firstLineChars="0" w:hanging="108"/>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2.25E-02</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1.91E-05</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1.30E-03</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9.26E-04</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1.67E-03</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8.58E-06</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2.09E-05</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1.82E-02</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4.03E-04</w:t>
            </w:r>
          </w:p>
        </w:tc>
      </w:tr>
      <w:tr w:rsidR="003541AA" w:rsidRPr="003541AA" w:rsidTr="003541AA">
        <w:trPr>
          <w:trHeight w:val="20"/>
        </w:trPr>
        <w:tc>
          <w:tcPr>
            <w:tcW w:w="2490" w:type="dxa"/>
            <w:shd w:val="clear" w:color="auto" w:fill="FBE4D5"/>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电离辐射</w:t>
            </w:r>
          </w:p>
        </w:tc>
        <w:tc>
          <w:tcPr>
            <w:tcW w:w="770" w:type="dxa"/>
            <w:shd w:val="clear" w:color="auto" w:fill="FBE4D5"/>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w:t>
            </w:r>
          </w:p>
        </w:tc>
        <w:tc>
          <w:tcPr>
            <w:tcW w:w="0" w:type="auto"/>
            <w:shd w:val="clear" w:color="auto" w:fill="FBE4D5"/>
            <w:noWrap/>
            <w:vAlign w:val="center"/>
            <w:hideMark/>
          </w:tcPr>
          <w:p w:rsidR="003541AA" w:rsidRPr="003541AA" w:rsidRDefault="003541AA" w:rsidP="003541AA">
            <w:pPr>
              <w:widowControl/>
              <w:spacing w:line="240" w:lineRule="auto"/>
              <w:ind w:firstLineChars="0" w:hanging="108"/>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1.23E-02</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0.00E+00</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1.45E-04</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4.64E-04</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1.87E-04</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2.93E-05</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2.72E-05</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1.00E-02</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1.44E-03</w:t>
            </w:r>
          </w:p>
        </w:tc>
      </w:tr>
      <w:tr w:rsidR="003541AA" w:rsidRPr="003541AA" w:rsidTr="003541AA">
        <w:trPr>
          <w:trHeight w:val="20"/>
        </w:trPr>
        <w:tc>
          <w:tcPr>
            <w:tcW w:w="2490" w:type="dxa"/>
            <w:shd w:val="clear" w:color="auto" w:fill="FBE4D5"/>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平流层臭氧消耗</w:t>
            </w:r>
          </w:p>
        </w:tc>
        <w:tc>
          <w:tcPr>
            <w:tcW w:w="770" w:type="dxa"/>
            <w:shd w:val="clear" w:color="auto" w:fill="FBE4D5"/>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w:t>
            </w:r>
          </w:p>
        </w:tc>
        <w:tc>
          <w:tcPr>
            <w:tcW w:w="0" w:type="auto"/>
            <w:shd w:val="clear" w:color="auto" w:fill="FBE4D5"/>
            <w:noWrap/>
            <w:vAlign w:val="center"/>
            <w:hideMark/>
          </w:tcPr>
          <w:p w:rsidR="003541AA" w:rsidRPr="003541AA" w:rsidRDefault="003541AA" w:rsidP="003541AA">
            <w:pPr>
              <w:widowControl/>
              <w:spacing w:line="240" w:lineRule="auto"/>
              <w:ind w:firstLineChars="0" w:hanging="108"/>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5.85E-03</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1.08E-04</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1.41E-04</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2.95E-04</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1.82E-04</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1.11E-05</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3.64E-05</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4.42E-03</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6.63E-04</w:t>
            </w:r>
          </w:p>
        </w:tc>
      </w:tr>
      <w:tr w:rsidR="003541AA" w:rsidRPr="003541AA" w:rsidTr="003541AA">
        <w:trPr>
          <w:trHeight w:val="20"/>
        </w:trPr>
        <w:tc>
          <w:tcPr>
            <w:tcW w:w="2490" w:type="dxa"/>
            <w:shd w:val="clear" w:color="auto" w:fill="FBE4D5"/>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淡水生态系统毒性</w:t>
            </w:r>
          </w:p>
        </w:tc>
        <w:tc>
          <w:tcPr>
            <w:tcW w:w="770" w:type="dxa"/>
            <w:shd w:val="clear" w:color="auto" w:fill="FBE4D5"/>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w:t>
            </w:r>
          </w:p>
        </w:tc>
        <w:tc>
          <w:tcPr>
            <w:tcW w:w="0" w:type="auto"/>
            <w:shd w:val="clear" w:color="auto" w:fill="FBE4D5"/>
            <w:noWrap/>
            <w:vAlign w:val="center"/>
            <w:hideMark/>
          </w:tcPr>
          <w:p w:rsidR="003541AA" w:rsidRPr="003541AA" w:rsidRDefault="003541AA" w:rsidP="003541AA">
            <w:pPr>
              <w:widowControl/>
              <w:spacing w:line="240" w:lineRule="auto"/>
              <w:ind w:firstLineChars="0" w:hanging="108"/>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1.60E-03</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6.84E-09</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3.49E-04</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4.13E-04</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4.48E-04</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1.90E-04</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8.75E-06</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1.88E-04</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6.42E-06</w:t>
            </w:r>
          </w:p>
        </w:tc>
      </w:tr>
      <w:tr w:rsidR="003541AA" w:rsidRPr="003541AA" w:rsidTr="003541AA">
        <w:trPr>
          <w:trHeight w:val="20"/>
        </w:trPr>
        <w:tc>
          <w:tcPr>
            <w:tcW w:w="2490" w:type="dxa"/>
            <w:shd w:val="clear" w:color="auto" w:fill="FBE4D5"/>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矿产资源耗竭</w:t>
            </w:r>
          </w:p>
        </w:tc>
        <w:tc>
          <w:tcPr>
            <w:tcW w:w="770" w:type="dxa"/>
            <w:shd w:val="clear" w:color="auto" w:fill="FBE4D5"/>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w:t>
            </w:r>
          </w:p>
        </w:tc>
        <w:tc>
          <w:tcPr>
            <w:tcW w:w="0" w:type="auto"/>
            <w:shd w:val="clear" w:color="auto" w:fill="FBE4D5"/>
            <w:noWrap/>
            <w:vAlign w:val="center"/>
            <w:hideMark/>
          </w:tcPr>
          <w:p w:rsidR="003541AA" w:rsidRPr="003541AA" w:rsidRDefault="003541AA" w:rsidP="003541AA">
            <w:pPr>
              <w:widowControl/>
              <w:spacing w:line="240" w:lineRule="auto"/>
              <w:ind w:firstLineChars="0" w:hanging="108"/>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6.49E-04</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0.00E+00</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1.22E-04</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1.61E-04</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1.57E-04</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3.01E-06</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6.99E-06</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0.00E+00</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2.00E-04</w:t>
            </w:r>
          </w:p>
        </w:tc>
      </w:tr>
      <w:tr w:rsidR="003541AA" w:rsidRPr="003541AA" w:rsidTr="003541AA">
        <w:trPr>
          <w:trHeight w:val="20"/>
        </w:trPr>
        <w:tc>
          <w:tcPr>
            <w:tcW w:w="2490" w:type="dxa"/>
            <w:shd w:val="clear" w:color="auto" w:fill="FBE4D5"/>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海洋生态系统毒性</w:t>
            </w:r>
          </w:p>
        </w:tc>
        <w:tc>
          <w:tcPr>
            <w:tcW w:w="770" w:type="dxa"/>
            <w:shd w:val="clear" w:color="auto" w:fill="FBE4D5"/>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w:t>
            </w:r>
          </w:p>
        </w:tc>
        <w:tc>
          <w:tcPr>
            <w:tcW w:w="0" w:type="auto"/>
            <w:shd w:val="clear" w:color="auto" w:fill="FBE4D5"/>
            <w:noWrap/>
            <w:vAlign w:val="center"/>
            <w:hideMark/>
          </w:tcPr>
          <w:p w:rsidR="003541AA" w:rsidRPr="003541AA" w:rsidRDefault="003541AA" w:rsidP="003541AA">
            <w:pPr>
              <w:widowControl/>
              <w:spacing w:line="240" w:lineRule="auto"/>
              <w:ind w:firstLineChars="0" w:hanging="108"/>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4.28E-04</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4.54E-08</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7.87E-05</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8.98E-05</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1.01E-04</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3.65E-05</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2.33E-06</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1.15E-04</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3.94E-06</w:t>
            </w:r>
          </w:p>
        </w:tc>
      </w:tr>
      <w:tr w:rsidR="003541AA" w:rsidRPr="003541AA" w:rsidTr="003541AA">
        <w:trPr>
          <w:trHeight w:val="20"/>
        </w:trPr>
        <w:tc>
          <w:tcPr>
            <w:tcW w:w="2490" w:type="dxa"/>
            <w:shd w:val="clear" w:color="auto" w:fill="FBE4D5"/>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海洋富营养化</w:t>
            </w:r>
          </w:p>
        </w:tc>
        <w:tc>
          <w:tcPr>
            <w:tcW w:w="770" w:type="dxa"/>
            <w:shd w:val="clear" w:color="auto" w:fill="FBE4D5"/>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w:t>
            </w:r>
          </w:p>
        </w:tc>
        <w:tc>
          <w:tcPr>
            <w:tcW w:w="0" w:type="auto"/>
            <w:shd w:val="clear" w:color="auto" w:fill="FBE4D5"/>
            <w:noWrap/>
            <w:vAlign w:val="center"/>
            <w:hideMark/>
          </w:tcPr>
          <w:p w:rsidR="003541AA" w:rsidRPr="003541AA" w:rsidRDefault="003541AA" w:rsidP="003541AA">
            <w:pPr>
              <w:widowControl/>
              <w:spacing w:line="240" w:lineRule="auto"/>
              <w:ind w:firstLineChars="0" w:hanging="108"/>
              <w:jc w:val="center"/>
              <w:rPr>
                <w:rFonts w:ascii="Times New Roman" w:eastAsia="宋体" w:hAnsi="Times New Roman"/>
                <w:b/>
                <w:color w:val="000000"/>
                <w:kern w:val="0"/>
                <w:sz w:val="21"/>
                <w:szCs w:val="21"/>
              </w:rPr>
            </w:pPr>
            <w:r w:rsidRPr="003541AA">
              <w:rPr>
                <w:rFonts w:ascii="Times New Roman" w:eastAsia="宋体" w:hAnsi="Times New Roman"/>
                <w:b/>
                <w:color w:val="000000"/>
                <w:kern w:val="0"/>
                <w:sz w:val="21"/>
                <w:szCs w:val="21"/>
              </w:rPr>
              <w:t>9.62E-06</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0.00E+00</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7.47E-07</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1.27E-06</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9.60E-07</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6.82E-07</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3.62E-08</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4.90E-06</w:t>
            </w:r>
          </w:p>
        </w:tc>
        <w:tc>
          <w:tcPr>
            <w:tcW w:w="0" w:type="auto"/>
            <w:shd w:val="clear" w:color="auto" w:fill="auto"/>
            <w:noWrap/>
            <w:vAlign w:val="center"/>
            <w:hideMark/>
          </w:tcPr>
          <w:p w:rsidR="003541AA" w:rsidRPr="003541AA" w:rsidRDefault="003541AA" w:rsidP="003541AA">
            <w:pPr>
              <w:widowControl/>
              <w:spacing w:line="240" w:lineRule="auto"/>
              <w:ind w:firstLineChars="0" w:firstLine="0"/>
              <w:jc w:val="center"/>
              <w:rPr>
                <w:rFonts w:ascii="Times New Roman" w:eastAsia="宋体" w:hAnsi="Times New Roman"/>
                <w:color w:val="000000"/>
                <w:kern w:val="0"/>
                <w:sz w:val="21"/>
                <w:szCs w:val="21"/>
              </w:rPr>
            </w:pPr>
            <w:r w:rsidRPr="003541AA">
              <w:rPr>
                <w:rFonts w:ascii="Times New Roman" w:eastAsia="宋体" w:hAnsi="Times New Roman"/>
                <w:color w:val="000000"/>
                <w:kern w:val="0"/>
                <w:sz w:val="21"/>
                <w:szCs w:val="21"/>
              </w:rPr>
              <w:t>1.03E-06</w:t>
            </w:r>
          </w:p>
        </w:tc>
      </w:tr>
    </w:tbl>
    <w:p w:rsidR="003541AA" w:rsidRDefault="003541AA">
      <w:pPr>
        <w:widowControl/>
        <w:spacing w:line="240" w:lineRule="auto"/>
        <w:ind w:firstLineChars="0" w:firstLine="0"/>
        <w:jc w:val="left"/>
      </w:pPr>
    </w:p>
    <w:p w:rsidR="003541AA" w:rsidRDefault="003541AA">
      <w:pPr>
        <w:widowControl/>
        <w:spacing w:line="240" w:lineRule="auto"/>
        <w:ind w:firstLineChars="0" w:firstLine="0"/>
        <w:jc w:val="left"/>
      </w:pPr>
    </w:p>
    <w:p w:rsidR="003541AA" w:rsidRDefault="003541AA">
      <w:pPr>
        <w:widowControl/>
        <w:spacing w:line="240" w:lineRule="auto"/>
        <w:ind w:firstLineChars="0" w:firstLine="0"/>
        <w:jc w:val="left"/>
      </w:pPr>
    </w:p>
    <w:p w:rsidR="003541AA" w:rsidRDefault="003541AA">
      <w:pPr>
        <w:widowControl/>
        <w:spacing w:line="240" w:lineRule="auto"/>
        <w:ind w:firstLineChars="0" w:firstLine="0"/>
        <w:jc w:val="left"/>
        <w:sectPr w:rsidR="003541AA" w:rsidSect="003541AA">
          <w:pgSz w:w="16838" w:h="11906" w:orient="landscape"/>
          <w:pgMar w:top="1800" w:right="1440" w:bottom="1800" w:left="1440" w:header="851" w:footer="992" w:gutter="0"/>
          <w:cols w:space="425"/>
          <w:docGrid w:type="lines" w:linePitch="326"/>
        </w:sectPr>
      </w:pPr>
    </w:p>
    <w:p w:rsidR="003541AA" w:rsidRPr="006D79C8" w:rsidRDefault="003541AA" w:rsidP="003541AA">
      <w:pPr>
        <w:ind w:firstLine="482"/>
        <w:rPr>
          <w:rFonts w:ascii="Times New Roman" w:hAnsi="Times New Roman"/>
          <w:b/>
        </w:rPr>
      </w:pPr>
      <w:r w:rsidRPr="006D79C8">
        <w:rPr>
          <w:rFonts w:ascii="Times New Roman" w:hAnsi="Times New Roman"/>
          <w:b/>
        </w:rPr>
        <w:lastRenderedPageBreak/>
        <w:t>影响类别分析（纵列）：</w:t>
      </w:r>
    </w:p>
    <w:p w:rsidR="003541AA" w:rsidRPr="006D79C8" w:rsidRDefault="003541AA" w:rsidP="003541AA">
      <w:pPr>
        <w:rPr>
          <w:rFonts w:ascii="Times New Roman" w:hAnsi="Times New Roman"/>
        </w:rPr>
      </w:pPr>
      <w:r w:rsidRPr="006D79C8">
        <w:rPr>
          <w:rFonts w:ascii="Times New Roman" w:hAnsi="Times New Roman"/>
          <w:noProof/>
        </w:rPr>
        <w:drawing>
          <wp:inline distT="0" distB="0" distL="0" distR="0">
            <wp:extent cx="5191125" cy="3848100"/>
            <wp:effectExtent l="0" t="0" r="0" b="0"/>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6137C" w:rsidRDefault="0036137C" w:rsidP="003541AA">
      <w:pPr>
        <w:rPr>
          <w:rFonts w:ascii="Times New Roman" w:hAnsi="Times New Roman"/>
        </w:rPr>
      </w:pPr>
    </w:p>
    <w:p w:rsidR="003541AA" w:rsidRDefault="003541AA" w:rsidP="0036137C">
      <w:pPr>
        <w:rPr>
          <w:rFonts w:ascii="Times New Roman" w:hAnsi="Times New Roman"/>
        </w:rPr>
      </w:pPr>
      <w:r w:rsidRPr="006D79C8">
        <w:rPr>
          <w:rFonts w:ascii="Times New Roman" w:hAnsi="Times New Roman"/>
        </w:rPr>
        <w:t>该企业</w:t>
      </w:r>
      <w:r w:rsidR="00D0091B">
        <w:rPr>
          <w:rFonts w:ascii="Times New Roman" w:hAnsi="Times New Roman" w:hint="eastAsia"/>
        </w:rPr>
        <w:t>将生活用水统计到数据表格中，造成</w:t>
      </w:r>
      <w:r w:rsidRPr="006D79C8">
        <w:rPr>
          <w:rFonts w:ascii="Times New Roman" w:hAnsi="Times New Roman"/>
        </w:rPr>
        <w:t>水藻泥生产全生命周期过程中水资源消耗占比最大，为</w:t>
      </w:r>
      <w:r w:rsidRPr="006D79C8">
        <w:rPr>
          <w:rFonts w:ascii="Times New Roman" w:hAnsi="Times New Roman"/>
        </w:rPr>
        <w:t>52.4%</w:t>
      </w:r>
      <w:r w:rsidR="00D0091B">
        <w:rPr>
          <w:rFonts w:ascii="Times New Roman" w:hAnsi="Times New Roman" w:hint="eastAsia"/>
        </w:rPr>
        <w:t>,</w:t>
      </w:r>
      <w:r w:rsidR="00D0091B">
        <w:rPr>
          <w:rFonts w:ascii="Times New Roman" w:hAnsi="Times New Roman" w:hint="eastAsia"/>
        </w:rPr>
        <w:t>此处</w:t>
      </w:r>
      <w:r w:rsidR="008828FE">
        <w:rPr>
          <w:rFonts w:ascii="Times New Roman" w:hAnsi="Times New Roman" w:hint="eastAsia"/>
        </w:rPr>
        <w:t>水资源消耗不作为清单分析因子处理</w:t>
      </w:r>
      <w:r w:rsidR="00D0091B">
        <w:rPr>
          <w:rFonts w:ascii="Times New Roman" w:hAnsi="Times New Roman" w:hint="eastAsia"/>
        </w:rPr>
        <w:t>，因为生产过程中不会用水资源</w:t>
      </w:r>
      <w:r w:rsidRPr="006D79C8">
        <w:rPr>
          <w:rFonts w:ascii="Times New Roman" w:hAnsi="Times New Roman"/>
        </w:rPr>
        <w:t>；其次为全球变暖，为</w:t>
      </w:r>
      <w:r w:rsidRPr="006D79C8">
        <w:rPr>
          <w:rFonts w:ascii="Times New Roman" w:hAnsi="Times New Roman"/>
        </w:rPr>
        <w:t>27%</w:t>
      </w:r>
      <w:r w:rsidRPr="006D79C8">
        <w:rPr>
          <w:rFonts w:ascii="Times New Roman" w:hAnsi="Times New Roman"/>
        </w:rPr>
        <w:t>，第三为颗粒物形成</w:t>
      </w:r>
      <w:r w:rsidRPr="006D79C8">
        <w:rPr>
          <w:rFonts w:ascii="Times New Roman" w:hAnsi="Times New Roman"/>
        </w:rPr>
        <w:t>16.6%</w:t>
      </w:r>
      <w:r w:rsidRPr="006D79C8">
        <w:rPr>
          <w:rFonts w:ascii="Times New Roman" w:hAnsi="Times New Roman"/>
        </w:rPr>
        <w:t>，第四为人体毒性</w:t>
      </w:r>
      <w:r w:rsidRPr="006D79C8">
        <w:rPr>
          <w:rFonts w:ascii="Times New Roman" w:hAnsi="Times New Roman"/>
        </w:rPr>
        <w:t>-</w:t>
      </w:r>
      <w:r w:rsidRPr="006D79C8">
        <w:rPr>
          <w:rFonts w:ascii="Times New Roman" w:hAnsi="Times New Roman"/>
        </w:rPr>
        <w:t>致癌损害，</w:t>
      </w:r>
      <w:r w:rsidR="008828FE">
        <w:rPr>
          <w:rFonts w:ascii="Times New Roman" w:hAnsi="Times New Roman" w:hint="eastAsia"/>
        </w:rPr>
        <w:t>人体毒性是计算软件</w:t>
      </w:r>
      <w:r w:rsidR="0036137C">
        <w:rPr>
          <w:rFonts w:ascii="Times New Roman" w:hAnsi="Times New Roman" w:hint="eastAsia"/>
        </w:rPr>
        <w:t>没有硅藻土原矿的背景数据，</w:t>
      </w:r>
      <w:r w:rsidR="008828FE">
        <w:rPr>
          <w:rFonts w:ascii="Times New Roman" w:hAnsi="Times New Roman" w:hint="eastAsia"/>
        </w:rPr>
        <w:t>将硅藻土原矿取作硅砂，因为化学成分都是二氧化硅，硅砂开采过程中有害物质对人体的侵害，所以分析结果中有人体毒性这个参数，实际在硅藻土矿开采过程中与硅砂完全不同，制作壁材使用的硅藻土矿纯度很高，而且不含有重金属元素等对人体有害的物质，所以人体毒性不作为清单分析因子来处理。</w:t>
      </w:r>
    </w:p>
    <w:p w:rsidR="0036137C" w:rsidRDefault="0036137C" w:rsidP="003541AA">
      <w:pPr>
        <w:rPr>
          <w:rFonts w:ascii="Times New Roman" w:hAnsi="Times New Roman"/>
        </w:rPr>
      </w:pPr>
    </w:p>
    <w:p w:rsidR="0036137C" w:rsidRDefault="0036137C" w:rsidP="003541AA">
      <w:pPr>
        <w:rPr>
          <w:rFonts w:ascii="Times New Roman" w:hAnsi="Times New Roman"/>
        </w:rPr>
      </w:pPr>
    </w:p>
    <w:p w:rsidR="0036137C" w:rsidRDefault="0036137C" w:rsidP="003541AA">
      <w:pPr>
        <w:rPr>
          <w:rFonts w:ascii="Times New Roman" w:hAnsi="Times New Roman"/>
        </w:rPr>
      </w:pPr>
    </w:p>
    <w:p w:rsidR="0036137C" w:rsidRDefault="0036137C" w:rsidP="003541AA">
      <w:pPr>
        <w:rPr>
          <w:rFonts w:ascii="Times New Roman" w:hAnsi="Times New Roman"/>
        </w:rPr>
      </w:pPr>
    </w:p>
    <w:p w:rsidR="0036137C" w:rsidRDefault="0036137C" w:rsidP="003541AA">
      <w:pPr>
        <w:rPr>
          <w:rFonts w:ascii="Times New Roman" w:hAnsi="Times New Roman"/>
        </w:rPr>
      </w:pPr>
    </w:p>
    <w:p w:rsidR="0036137C" w:rsidRDefault="0036137C" w:rsidP="003541AA">
      <w:pPr>
        <w:rPr>
          <w:rFonts w:ascii="Times New Roman" w:hAnsi="Times New Roman"/>
        </w:rPr>
      </w:pPr>
    </w:p>
    <w:p w:rsidR="003541AA" w:rsidRPr="006D79C8" w:rsidRDefault="003541AA" w:rsidP="003541AA">
      <w:pPr>
        <w:ind w:firstLine="482"/>
        <w:rPr>
          <w:rFonts w:ascii="Times New Roman" w:hAnsi="Times New Roman"/>
          <w:b/>
        </w:rPr>
      </w:pPr>
      <w:r w:rsidRPr="006D79C8">
        <w:rPr>
          <w:rFonts w:ascii="Times New Roman" w:hAnsi="Times New Roman"/>
          <w:b/>
        </w:rPr>
        <w:lastRenderedPageBreak/>
        <w:t>过程贡献分析（横行）：</w:t>
      </w:r>
    </w:p>
    <w:p w:rsidR="003541AA" w:rsidRPr="006D79C8" w:rsidRDefault="003541AA" w:rsidP="003541AA">
      <w:pPr>
        <w:jc w:val="center"/>
        <w:rPr>
          <w:rFonts w:ascii="Times New Roman" w:hAnsi="Times New Roman"/>
          <w:b/>
        </w:rPr>
      </w:pPr>
      <w:r w:rsidRPr="006D79C8">
        <w:rPr>
          <w:rFonts w:ascii="Times New Roman" w:hAnsi="Times New Roman"/>
          <w:noProof/>
        </w:rPr>
        <w:drawing>
          <wp:inline distT="0" distB="0" distL="0" distR="0">
            <wp:extent cx="5105400" cy="2505075"/>
            <wp:effectExtent l="0" t="0" r="0" b="0"/>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D33A1" w:rsidRDefault="003541AA" w:rsidP="003541AA">
      <w:pPr>
        <w:pStyle w:val="aa"/>
        <w:ind w:left="900" w:firstLineChars="0" w:firstLine="0"/>
      </w:pPr>
      <w:r w:rsidRPr="006D79C8">
        <w:rPr>
          <w:rFonts w:ascii="Times New Roman" w:hAnsi="Times New Roman" w:cs="Times New Roman"/>
        </w:rPr>
        <w:t>该企业</w:t>
      </w:r>
      <w:r w:rsidR="00D0091B">
        <w:rPr>
          <w:rFonts w:ascii="Times New Roman" w:hAnsi="Times New Roman" w:cs="Times New Roman" w:hint="eastAsia"/>
        </w:rPr>
        <w:t>某原料</w:t>
      </w:r>
      <w:r w:rsidRPr="006D79C8">
        <w:rPr>
          <w:rFonts w:ascii="Times New Roman" w:hAnsi="Times New Roman" w:cs="Times New Roman"/>
        </w:rPr>
        <w:t>运输距离</w:t>
      </w:r>
      <w:r w:rsidR="00D0091B">
        <w:rPr>
          <w:rFonts w:ascii="Times New Roman" w:hAnsi="Times New Roman" w:cs="Times New Roman" w:hint="eastAsia"/>
        </w:rPr>
        <w:t>数据偏差较大，</w:t>
      </w:r>
      <w:r w:rsidRPr="006D79C8">
        <w:rPr>
          <w:rFonts w:ascii="Times New Roman" w:hAnsi="Times New Roman" w:cs="Times New Roman"/>
        </w:rPr>
        <w:t>造成运输过程占比较大，</w:t>
      </w:r>
      <w:r w:rsidR="00D0091B">
        <w:rPr>
          <w:rFonts w:ascii="Times New Roman" w:hAnsi="Times New Roman" w:cs="Times New Roman" w:hint="eastAsia"/>
        </w:rPr>
        <w:t>此处数据忽略不计。</w:t>
      </w:r>
      <w:r w:rsidRPr="006D79C8">
        <w:rPr>
          <w:rFonts w:ascii="Times New Roman" w:hAnsi="Times New Roman" w:cs="Times New Roman"/>
        </w:rPr>
        <w:t>此外为电力生产以及硅藻泥生产过程。</w:t>
      </w:r>
    </w:p>
    <w:p w:rsidR="00D0091B" w:rsidRDefault="00D0091B" w:rsidP="003541AA">
      <w:pPr>
        <w:pStyle w:val="aa"/>
        <w:ind w:left="900" w:firstLineChars="0" w:firstLine="0"/>
        <w:sectPr w:rsidR="00D0091B" w:rsidSect="003541AA">
          <w:pgSz w:w="11906" w:h="16838"/>
          <w:pgMar w:top="1440" w:right="1800" w:bottom="1440" w:left="1800" w:header="851" w:footer="992" w:gutter="0"/>
          <w:cols w:space="425"/>
          <w:docGrid w:type="lines" w:linePitch="326"/>
        </w:sectPr>
      </w:pPr>
    </w:p>
    <w:p w:rsidR="00D0091B" w:rsidRDefault="00D0091B" w:rsidP="003541AA">
      <w:pPr>
        <w:pStyle w:val="aa"/>
        <w:ind w:left="900" w:firstLineChars="0" w:firstLine="0"/>
      </w:pPr>
      <w:r>
        <w:rPr>
          <w:rFonts w:hint="eastAsia"/>
        </w:rPr>
        <w:lastRenderedPageBreak/>
        <w:t>二、B企业</w:t>
      </w:r>
    </w:p>
    <w:p w:rsidR="00D0091B" w:rsidRDefault="00D0091B" w:rsidP="003541AA">
      <w:pPr>
        <w:pStyle w:val="aa"/>
        <w:ind w:left="900" w:firstLineChars="0" w:firstLine="0"/>
      </w:pPr>
      <w:r>
        <w:rPr>
          <w:noProof/>
        </w:rPr>
        <w:drawing>
          <wp:inline distT="0" distB="0" distL="0" distR="0">
            <wp:extent cx="8582025" cy="4086225"/>
            <wp:effectExtent l="19050" t="0" r="9525" b="0"/>
            <wp:docPr id="13" name="图片 13" descr="C:\Users\ADMINI~1\AppData\Local\Temp\15952337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I~1\AppData\Local\Temp\1595233728(1).png"/>
                    <pic:cNvPicPr>
                      <a:picLocks noChangeAspect="1" noChangeArrowheads="1"/>
                    </pic:cNvPicPr>
                  </pic:nvPicPr>
                  <pic:blipFill>
                    <a:blip r:embed="rId17" cstate="print"/>
                    <a:srcRect/>
                    <a:stretch>
                      <a:fillRect/>
                    </a:stretch>
                  </pic:blipFill>
                  <pic:spPr bwMode="auto">
                    <a:xfrm>
                      <a:off x="0" y="0"/>
                      <a:ext cx="8582025" cy="4086225"/>
                    </a:xfrm>
                    <a:prstGeom prst="rect">
                      <a:avLst/>
                    </a:prstGeom>
                    <a:noFill/>
                    <a:ln w="9525">
                      <a:noFill/>
                      <a:miter lim="800000"/>
                      <a:headEnd/>
                      <a:tailEnd/>
                    </a:ln>
                  </pic:spPr>
                </pic:pic>
              </a:graphicData>
            </a:graphic>
          </wp:inline>
        </w:drawing>
      </w:r>
    </w:p>
    <w:p w:rsidR="00D0091B" w:rsidRDefault="00D0091B" w:rsidP="003541AA">
      <w:pPr>
        <w:pStyle w:val="aa"/>
        <w:ind w:left="900" w:firstLineChars="0" w:firstLine="0"/>
      </w:pPr>
    </w:p>
    <w:p w:rsidR="00D0091B" w:rsidRDefault="00D0091B" w:rsidP="003541AA">
      <w:pPr>
        <w:pStyle w:val="aa"/>
        <w:ind w:left="900" w:firstLineChars="0" w:firstLine="0"/>
        <w:sectPr w:rsidR="00D0091B" w:rsidSect="00D0091B">
          <w:pgSz w:w="16838" w:h="11906" w:orient="landscape"/>
          <w:pgMar w:top="1800" w:right="1440" w:bottom="1800" w:left="1440" w:header="851" w:footer="992" w:gutter="0"/>
          <w:cols w:space="425"/>
          <w:docGrid w:type="lines" w:linePitch="326"/>
        </w:sectPr>
      </w:pPr>
    </w:p>
    <w:p w:rsidR="00D0091B" w:rsidRPr="006D79C8" w:rsidRDefault="00D0091B" w:rsidP="00D0091B">
      <w:pPr>
        <w:ind w:firstLine="482"/>
        <w:rPr>
          <w:rFonts w:ascii="Times New Roman" w:hAnsi="Times New Roman"/>
          <w:b/>
        </w:rPr>
      </w:pPr>
      <w:r w:rsidRPr="006D79C8">
        <w:rPr>
          <w:rFonts w:ascii="Times New Roman" w:hAnsi="Times New Roman"/>
          <w:b/>
        </w:rPr>
        <w:lastRenderedPageBreak/>
        <w:t>影响类别分析（纵列）：</w:t>
      </w:r>
    </w:p>
    <w:p w:rsidR="00D0091B" w:rsidRPr="006D79C8" w:rsidRDefault="00D0091B" w:rsidP="00D0091B">
      <w:pPr>
        <w:rPr>
          <w:rFonts w:ascii="Times New Roman" w:hAnsi="Times New Roman"/>
        </w:rPr>
      </w:pPr>
      <w:r>
        <w:rPr>
          <w:noProof/>
        </w:rPr>
        <w:drawing>
          <wp:inline distT="0" distB="0" distL="0" distR="0">
            <wp:extent cx="5372100" cy="2743200"/>
            <wp:effectExtent l="0" t="0" r="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0091B" w:rsidRPr="006D79C8" w:rsidRDefault="00D0091B" w:rsidP="00D0091B">
      <w:pPr>
        <w:rPr>
          <w:rFonts w:ascii="Times New Roman" w:hAnsi="Times New Roman"/>
        </w:rPr>
      </w:pPr>
      <w:r w:rsidRPr="006D79C8">
        <w:rPr>
          <w:rFonts w:ascii="Times New Roman" w:hAnsi="Times New Roman"/>
        </w:rPr>
        <w:t>该企业水藻泥生产全生命周期过程中</w:t>
      </w:r>
      <w:r>
        <w:rPr>
          <w:rFonts w:ascii="Times New Roman" w:hAnsi="Times New Roman" w:hint="eastAsia"/>
        </w:rPr>
        <w:t>全球变暖</w:t>
      </w:r>
      <w:r w:rsidRPr="006D79C8">
        <w:rPr>
          <w:rFonts w:ascii="Times New Roman" w:hAnsi="Times New Roman"/>
        </w:rPr>
        <w:t>占比最大，为</w:t>
      </w:r>
      <w:r>
        <w:rPr>
          <w:rFonts w:ascii="Times New Roman" w:hAnsi="Times New Roman"/>
        </w:rPr>
        <w:t>38.5</w:t>
      </w:r>
      <w:r w:rsidRPr="006D79C8">
        <w:rPr>
          <w:rFonts w:ascii="Times New Roman" w:hAnsi="Times New Roman"/>
        </w:rPr>
        <w:t>%</w:t>
      </w:r>
      <w:r w:rsidRPr="006D79C8">
        <w:rPr>
          <w:rFonts w:ascii="Times New Roman" w:hAnsi="Times New Roman"/>
        </w:rPr>
        <w:t>；其次为</w:t>
      </w:r>
      <w:r>
        <w:rPr>
          <w:rFonts w:ascii="Times New Roman" w:hAnsi="Times New Roman" w:hint="eastAsia"/>
        </w:rPr>
        <w:t>水资源</w:t>
      </w:r>
      <w:r>
        <w:rPr>
          <w:rFonts w:ascii="Times New Roman" w:hAnsi="Times New Roman"/>
        </w:rPr>
        <w:t>消耗</w:t>
      </w:r>
      <w:r w:rsidRPr="006D79C8">
        <w:rPr>
          <w:rFonts w:ascii="Times New Roman" w:hAnsi="Times New Roman"/>
        </w:rPr>
        <w:t>，为</w:t>
      </w:r>
      <w:r>
        <w:rPr>
          <w:rFonts w:ascii="Times New Roman" w:hAnsi="Times New Roman"/>
        </w:rPr>
        <w:t>31.1</w:t>
      </w:r>
      <w:r w:rsidRPr="006D79C8">
        <w:rPr>
          <w:rFonts w:ascii="Times New Roman" w:hAnsi="Times New Roman"/>
        </w:rPr>
        <w:t>%</w:t>
      </w:r>
      <w:r>
        <w:rPr>
          <w:rFonts w:ascii="Times New Roman" w:hAnsi="Times New Roman" w:hint="eastAsia"/>
        </w:rPr>
        <w:t>(</w:t>
      </w:r>
      <w:r>
        <w:rPr>
          <w:rFonts w:ascii="Times New Roman" w:hAnsi="Times New Roman" w:hint="eastAsia"/>
        </w:rPr>
        <w:t>该数据同上，企业将生活用水归为生产工艺用水中</w:t>
      </w:r>
      <w:r>
        <w:rPr>
          <w:rFonts w:ascii="Times New Roman" w:hAnsi="Times New Roman" w:hint="eastAsia"/>
        </w:rPr>
        <w:t>)</w:t>
      </w:r>
      <w:r w:rsidRPr="006D79C8">
        <w:rPr>
          <w:rFonts w:ascii="Times New Roman" w:hAnsi="Times New Roman"/>
        </w:rPr>
        <w:t>，第三为颗粒物形成</w:t>
      </w:r>
      <w:r>
        <w:rPr>
          <w:rFonts w:ascii="Times New Roman" w:hAnsi="Times New Roman"/>
        </w:rPr>
        <w:t>26.1</w:t>
      </w:r>
      <w:r w:rsidRPr="006D79C8">
        <w:rPr>
          <w:rFonts w:ascii="Times New Roman" w:hAnsi="Times New Roman"/>
        </w:rPr>
        <w:t>%</w:t>
      </w:r>
      <w:r w:rsidRPr="006D79C8">
        <w:rPr>
          <w:rFonts w:ascii="Times New Roman" w:hAnsi="Times New Roman"/>
        </w:rPr>
        <w:t>，第四为人体毒性</w:t>
      </w:r>
      <w:r w:rsidRPr="006D79C8">
        <w:rPr>
          <w:rFonts w:ascii="Times New Roman" w:hAnsi="Times New Roman"/>
        </w:rPr>
        <w:t>-</w:t>
      </w:r>
      <w:r w:rsidRPr="006D79C8">
        <w:rPr>
          <w:rFonts w:ascii="Times New Roman" w:hAnsi="Times New Roman"/>
        </w:rPr>
        <w:t>致癌损害</w:t>
      </w:r>
      <w:r w:rsidR="0036137C">
        <w:rPr>
          <w:rFonts w:ascii="Times New Roman" w:hAnsi="Times New Roman" w:hint="eastAsia"/>
        </w:rPr>
        <w:t>(</w:t>
      </w:r>
      <w:r w:rsidR="0036137C">
        <w:rPr>
          <w:rFonts w:ascii="Times New Roman" w:hAnsi="Times New Roman" w:hint="eastAsia"/>
        </w:rPr>
        <w:t>同上分析</w:t>
      </w:r>
      <w:r w:rsidR="0036137C">
        <w:rPr>
          <w:rFonts w:ascii="Times New Roman" w:hAnsi="Times New Roman" w:hint="eastAsia"/>
        </w:rPr>
        <w:t>)</w:t>
      </w:r>
      <w:r>
        <w:rPr>
          <w:rFonts w:ascii="Times New Roman" w:hAnsi="Times New Roman" w:hint="eastAsia"/>
        </w:rPr>
        <w:t>；</w:t>
      </w:r>
      <w:r>
        <w:rPr>
          <w:rFonts w:ascii="Times New Roman" w:hAnsi="Times New Roman"/>
        </w:rPr>
        <w:t>第五为</w:t>
      </w:r>
      <w:r>
        <w:rPr>
          <w:rFonts w:ascii="Times New Roman" w:hAnsi="Times New Roman" w:hint="eastAsia"/>
        </w:rPr>
        <w:t>化石能源</w:t>
      </w:r>
      <w:r>
        <w:rPr>
          <w:rFonts w:ascii="Times New Roman" w:hAnsi="Times New Roman"/>
        </w:rPr>
        <w:t>耗竭，占比</w:t>
      </w:r>
      <w:r>
        <w:rPr>
          <w:rFonts w:ascii="Times New Roman" w:hAnsi="Times New Roman" w:hint="eastAsia"/>
        </w:rPr>
        <w:t>1.12</w:t>
      </w:r>
      <w:r>
        <w:rPr>
          <w:rFonts w:ascii="Times New Roman" w:hAnsi="Times New Roman"/>
        </w:rPr>
        <w:t>%</w:t>
      </w:r>
      <w:r>
        <w:rPr>
          <w:rFonts w:ascii="Times New Roman" w:hAnsi="Times New Roman"/>
        </w:rPr>
        <w:t>。</w:t>
      </w:r>
    </w:p>
    <w:p w:rsidR="00D0091B" w:rsidRPr="006D79C8" w:rsidRDefault="00D0091B" w:rsidP="00D0091B">
      <w:pPr>
        <w:ind w:firstLine="482"/>
        <w:rPr>
          <w:rFonts w:ascii="Times New Roman" w:hAnsi="Times New Roman"/>
          <w:b/>
        </w:rPr>
      </w:pPr>
      <w:r w:rsidRPr="006D79C8">
        <w:rPr>
          <w:rFonts w:ascii="Times New Roman" w:hAnsi="Times New Roman"/>
          <w:b/>
        </w:rPr>
        <w:t>过程贡献分析（横行）：</w:t>
      </w:r>
    </w:p>
    <w:p w:rsidR="00D0091B" w:rsidRPr="006D79C8" w:rsidRDefault="00D0091B" w:rsidP="00D0091B">
      <w:pPr>
        <w:jc w:val="center"/>
        <w:rPr>
          <w:rFonts w:ascii="Times New Roman" w:hAnsi="Times New Roman"/>
          <w:b/>
        </w:rPr>
      </w:pPr>
      <w:r>
        <w:rPr>
          <w:noProof/>
        </w:rPr>
        <w:drawing>
          <wp:inline distT="0" distB="0" distL="0" distR="0">
            <wp:extent cx="4572000" cy="2743200"/>
            <wp:effectExtent l="0" t="0" r="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0091B" w:rsidRDefault="00D0091B" w:rsidP="00D0091B">
      <w:pPr>
        <w:pStyle w:val="aa"/>
        <w:ind w:left="426" w:firstLineChars="0" w:firstLine="0"/>
      </w:pPr>
      <w:r w:rsidRPr="006D79C8">
        <w:rPr>
          <w:rFonts w:ascii="Times New Roman" w:hAnsi="Times New Roman" w:cs="Times New Roman"/>
        </w:rPr>
        <w:t>该企业</w:t>
      </w:r>
      <w:r>
        <w:rPr>
          <w:rFonts w:ascii="Times New Roman" w:hAnsi="Times New Roman" w:cs="Times New Roman" w:hint="eastAsia"/>
        </w:rPr>
        <w:t>硅藻泥生产</w:t>
      </w:r>
      <w:r>
        <w:rPr>
          <w:rFonts w:ascii="Times New Roman" w:hAnsi="Times New Roman" w:cs="Times New Roman"/>
        </w:rPr>
        <w:t>过程中</w:t>
      </w:r>
      <w:r w:rsidRPr="006D79C8">
        <w:rPr>
          <w:rFonts w:ascii="Times New Roman" w:hAnsi="Times New Roman" w:cs="Times New Roman"/>
        </w:rPr>
        <w:t>电力生产</w:t>
      </w:r>
      <w:r>
        <w:rPr>
          <w:rFonts w:ascii="Times New Roman" w:hAnsi="Times New Roman" w:cs="Times New Roman" w:hint="eastAsia"/>
        </w:rPr>
        <w:t>过程</w:t>
      </w:r>
      <w:r>
        <w:rPr>
          <w:rFonts w:ascii="Times New Roman" w:hAnsi="Times New Roman" w:cs="Times New Roman"/>
        </w:rPr>
        <w:t>贡献最大，其次为原料生产过程，包括硅藻</w:t>
      </w:r>
      <w:r>
        <w:rPr>
          <w:rFonts w:ascii="Times New Roman" w:hAnsi="Times New Roman" w:cs="Times New Roman" w:hint="eastAsia"/>
        </w:rPr>
        <w:t>土</w:t>
      </w:r>
      <w:r>
        <w:rPr>
          <w:rFonts w:ascii="Times New Roman" w:hAnsi="Times New Roman" w:cs="Times New Roman"/>
        </w:rPr>
        <w:t>开采、灰钙等</w:t>
      </w:r>
      <w:r>
        <w:rPr>
          <w:rFonts w:ascii="Times New Roman" w:hAnsi="Times New Roman" w:cs="Times New Roman" w:hint="eastAsia"/>
        </w:rPr>
        <w:t>生产</w:t>
      </w:r>
      <w:r>
        <w:rPr>
          <w:rFonts w:ascii="Times New Roman" w:hAnsi="Times New Roman" w:cs="Times New Roman"/>
        </w:rPr>
        <w:t>过程</w:t>
      </w:r>
      <w:r w:rsidRPr="006D79C8">
        <w:rPr>
          <w:rFonts w:ascii="Times New Roman" w:hAnsi="Times New Roman" w:cs="Times New Roman"/>
        </w:rPr>
        <w:t>。</w:t>
      </w:r>
    </w:p>
    <w:p w:rsidR="008828FE" w:rsidRDefault="008828FE" w:rsidP="00D0091B">
      <w:pPr>
        <w:pStyle w:val="aa"/>
        <w:ind w:left="426" w:firstLineChars="0" w:firstLine="0"/>
      </w:pPr>
    </w:p>
    <w:p w:rsidR="008828FE" w:rsidRDefault="008828FE" w:rsidP="00D0091B">
      <w:pPr>
        <w:pStyle w:val="aa"/>
        <w:ind w:left="426" w:firstLineChars="0" w:firstLine="0"/>
        <w:sectPr w:rsidR="008828FE" w:rsidSect="003541AA">
          <w:pgSz w:w="11906" w:h="16838"/>
          <w:pgMar w:top="1440" w:right="1800" w:bottom="1440" w:left="1800" w:header="851" w:footer="992" w:gutter="0"/>
          <w:cols w:space="425"/>
          <w:docGrid w:type="lines" w:linePitch="326"/>
        </w:sectPr>
      </w:pPr>
    </w:p>
    <w:p w:rsidR="008828FE" w:rsidRDefault="008828FE" w:rsidP="00D0091B">
      <w:pPr>
        <w:pStyle w:val="aa"/>
        <w:ind w:left="426" w:firstLineChars="0" w:firstLine="0"/>
      </w:pPr>
      <w:r>
        <w:rPr>
          <w:rFonts w:hint="eastAsia"/>
        </w:rPr>
        <w:lastRenderedPageBreak/>
        <w:t>三、C企业</w:t>
      </w:r>
    </w:p>
    <w:p w:rsidR="008828FE" w:rsidRDefault="008828FE" w:rsidP="00D0091B">
      <w:pPr>
        <w:pStyle w:val="aa"/>
        <w:ind w:left="426" w:firstLineChars="0" w:firstLine="0"/>
        <w:sectPr w:rsidR="008828FE" w:rsidSect="008828FE">
          <w:pgSz w:w="16838" w:h="11906" w:orient="landscape"/>
          <w:pgMar w:top="1800" w:right="1440" w:bottom="1800" w:left="1440" w:header="851" w:footer="992" w:gutter="0"/>
          <w:cols w:space="425"/>
          <w:docGrid w:type="lines" w:linePitch="326"/>
        </w:sectPr>
      </w:pPr>
      <w:r>
        <w:rPr>
          <w:noProof/>
        </w:rPr>
        <w:drawing>
          <wp:inline distT="0" distB="0" distL="0" distR="0">
            <wp:extent cx="8863330" cy="4269248"/>
            <wp:effectExtent l="19050" t="0" r="0" b="0"/>
            <wp:docPr id="14" name="图片 14" descr="C:\Users\ADMINI~1\AppData\Local\Temp\15952338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I~1\AppData\Local\Temp\1595233886(1).png"/>
                    <pic:cNvPicPr>
                      <a:picLocks noChangeAspect="1" noChangeArrowheads="1"/>
                    </pic:cNvPicPr>
                  </pic:nvPicPr>
                  <pic:blipFill>
                    <a:blip r:embed="rId20" cstate="print"/>
                    <a:srcRect/>
                    <a:stretch>
                      <a:fillRect/>
                    </a:stretch>
                  </pic:blipFill>
                  <pic:spPr bwMode="auto">
                    <a:xfrm>
                      <a:off x="0" y="0"/>
                      <a:ext cx="8863330" cy="4269248"/>
                    </a:xfrm>
                    <a:prstGeom prst="rect">
                      <a:avLst/>
                    </a:prstGeom>
                    <a:noFill/>
                    <a:ln w="9525">
                      <a:noFill/>
                      <a:miter lim="800000"/>
                      <a:headEnd/>
                      <a:tailEnd/>
                    </a:ln>
                  </pic:spPr>
                </pic:pic>
              </a:graphicData>
            </a:graphic>
          </wp:inline>
        </w:drawing>
      </w:r>
    </w:p>
    <w:p w:rsidR="008828FE" w:rsidRPr="006D79C8" w:rsidRDefault="008828FE" w:rsidP="008828FE">
      <w:pPr>
        <w:ind w:firstLine="482"/>
        <w:rPr>
          <w:rFonts w:ascii="Times New Roman" w:hAnsi="Times New Roman"/>
          <w:b/>
        </w:rPr>
      </w:pPr>
      <w:r w:rsidRPr="006D79C8">
        <w:rPr>
          <w:rFonts w:ascii="Times New Roman" w:hAnsi="Times New Roman"/>
          <w:b/>
        </w:rPr>
        <w:lastRenderedPageBreak/>
        <w:t>影响类别分析（纵列）：</w:t>
      </w:r>
    </w:p>
    <w:p w:rsidR="008828FE" w:rsidRPr="006D79C8" w:rsidRDefault="008828FE" w:rsidP="008828FE">
      <w:pPr>
        <w:rPr>
          <w:rFonts w:ascii="Times New Roman" w:hAnsi="Times New Roman"/>
        </w:rPr>
      </w:pPr>
      <w:r>
        <w:rPr>
          <w:noProof/>
        </w:rPr>
        <w:drawing>
          <wp:inline distT="0" distB="0" distL="0" distR="0">
            <wp:extent cx="5200650" cy="3267075"/>
            <wp:effectExtent l="0" t="0" r="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828FE" w:rsidRPr="006D79C8" w:rsidRDefault="008828FE" w:rsidP="008828FE">
      <w:pPr>
        <w:rPr>
          <w:rFonts w:ascii="Times New Roman" w:hAnsi="Times New Roman"/>
        </w:rPr>
      </w:pPr>
      <w:r w:rsidRPr="006D79C8">
        <w:rPr>
          <w:rFonts w:ascii="Times New Roman" w:hAnsi="Times New Roman"/>
        </w:rPr>
        <w:t>该企业水藻泥生产全生命周期过程中</w:t>
      </w:r>
      <w:r>
        <w:rPr>
          <w:rFonts w:ascii="Times New Roman" w:hAnsi="Times New Roman" w:hint="eastAsia"/>
        </w:rPr>
        <w:t>颗粒物形成</w:t>
      </w:r>
      <w:r w:rsidRPr="006D79C8">
        <w:rPr>
          <w:rFonts w:ascii="Times New Roman" w:hAnsi="Times New Roman"/>
        </w:rPr>
        <w:t>占比最大，为</w:t>
      </w:r>
      <w:r>
        <w:rPr>
          <w:rFonts w:ascii="Times New Roman" w:hAnsi="Times New Roman"/>
        </w:rPr>
        <w:t>48%</w:t>
      </w:r>
      <w:r w:rsidRPr="006D79C8">
        <w:rPr>
          <w:rFonts w:ascii="Times New Roman" w:hAnsi="Times New Roman"/>
        </w:rPr>
        <w:t>；其次为</w:t>
      </w:r>
      <w:r>
        <w:rPr>
          <w:rFonts w:ascii="Times New Roman" w:hAnsi="Times New Roman" w:hint="eastAsia"/>
        </w:rPr>
        <w:t>全球变暖</w:t>
      </w:r>
      <w:r w:rsidRPr="006D79C8">
        <w:rPr>
          <w:rFonts w:ascii="Times New Roman" w:hAnsi="Times New Roman"/>
        </w:rPr>
        <w:t>，为</w:t>
      </w:r>
      <w:r>
        <w:rPr>
          <w:rFonts w:ascii="Times New Roman" w:hAnsi="Times New Roman"/>
        </w:rPr>
        <w:t>32.6%</w:t>
      </w:r>
      <w:r w:rsidRPr="006D79C8">
        <w:rPr>
          <w:rFonts w:ascii="Times New Roman" w:hAnsi="Times New Roman"/>
        </w:rPr>
        <w:t>%</w:t>
      </w:r>
      <w:r w:rsidRPr="006D79C8">
        <w:rPr>
          <w:rFonts w:ascii="Times New Roman" w:hAnsi="Times New Roman"/>
        </w:rPr>
        <w:t>，第三为</w:t>
      </w:r>
      <w:r>
        <w:rPr>
          <w:rFonts w:ascii="Times New Roman" w:hAnsi="Times New Roman" w:hint="eastAsia"/>
        </w:rPr>
        <w:t>水资源消耗</w:t>
      </w:r>
      <w:r>
        <w:rPr>
          <w:rFonts w:ascii="Times New Roman" w:hAnsi="Times New Roman"/>
        </w:rPr>
        <w:t>5.56%</w:t>
      </w:r>
      <w:r w:rsidRPr="006D79C8">
        <w:rPr>
          <w:rFonts w:ascii="Times New Roman" w:hAnsi="Times New Roman"/>
        </w:rPr>
        <w:t>%</w:t>
      </w:r>
      <w:r>
        <w:rPr>
          <w:rFonts w:ascii="Times New Roman" w:hAnsi="Times New Roman" w:hint="eastAsia"/>
        </w:rPr>
        <w:t>(</w:t>
      </w:r>
      <w:r>
        <w:rPr>
          <w:rFonts w:ascii="Times New Roman" w:hAnsi="Times New Roman" w:hint="eastAsia"/>
        </w:rPr>
        <w:t>同上</w:t>
      </w:r>
      <w:r>
        <w:rPr>
          <w:rFonts w:ascii="Times New Roman" w:hAnsi="Times New Roman" w:hint="eastAsia"/>
        </w:rPr>
        <w:t>)</w:t>
      </w:r>
      <w:r w:rsidRPr="006D79C8">
        <w:rPr>
          <w:rFonts w:ascii="Times New Roman" w:hAnsi="Times New Roman"/>
        </w:rPr>
        <w:t>，第四为人体毒性</w:t>
      </w:r>
      <w:r>
        <w:rPr>
          <w:rFonts w:ascii="Times New Roman" w:hAnsi="Times New Roman" w:hint="eastAsia"/>
        </w:rPr>
        <w:t>（</w:t>
      </w:r>
      <w:r w:rsidR="0036137C">
        <w:rPr>
          <w:rFonts w:ascii="Times New Roman" w:hAnsi="Times New Roman" w:hint="eastAsia"/>
        </w:rPr>
        <w:t>同上分析</w:t>
      </w:r>
      <w:r>
        <w:rPr>
          <w:rFonts w:ascii="Times New Roman" w:hAnsi="Times New Roman" w:hint="eastAsia"/>
        </w:rPr>
        <w:t>）</w:t>
      </w:r>
      <w:r>
        <w:rPr>
          <w:rFonts w:ascii="Times New Roman" w:hAnsi="Times New Roman"/>
        </w:rPr>
        <w:t>。</w:t>
      </w:r>
    </w:p>
    <w:p w:rsidR="008828FE" w:rsidRPr="006D79C8" w:rsidRDefault="008828FE" w:rsidP="008828FE">
      <w:pPr>
        <w:ind w:firstLine="482"/>
        <w:rPr>
          <w:rFonts w:ascii="Times New Roman" w:hAnsi="Times New Roman"/>
          <w:b/>
        </w:rPr>
      </w:pPr>
      <w:r w:rsidRPr="006D79C8">
        <w:rPr>
          <w:rFonts w:ascii="Times New Roman" w:hAnsi="Times New Roman"/>
          <w:b/>
        </w:rPr>
        <w:t>过程贡献分析（横行）：</w:t>
      </w:r>
    </w:p>
    <w:p w:rsidR="008828FE" w:rsidRPr="006D79C8" w:rsidRDefault="008828FE" w:rsidP="008828FE">
      <w:pPr>
        <w:jc w:val="center"/>
        <w:rPr>
          <w:rFonts w:ascii="Times New Roman" w:hAnsi="Times New Roman"/>
          <w:b/>
        </w:rPr>
      </w:pPr>
      <w:r>
        <w:rPr>
          <w:noProof/>
        </w:rPr>
        <w:drawing>
          <wp:inline distT="0" distB="0" distL="0" distR="0">
            <wp:extent cx="4572000" cy="2743200"/>
            <wp:effectExtent l="0" t="0" r="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828FE" w:rsidRDefault="008828FE" w:rsidP="008828FE">
      <w:pPr>
        <w:rPr>
          <w:rFonts w:ascii="Times New Roman" w:hAnsi="Times New Roman"/>
        </w:rPr>
      </w:pPr>
      <w:r w:rsidRPr="006D79C8">
        <w:rPr>
          <w:rFonts w:ascii="Times New Roman" w:hAnsi="Times New Roman"/>
        </w:rPr>
        <w:t>该企业</w:t>
      </w:r>
      <w:r>
        <w:rPr>
          <w:rFonts w:ascii="Times New Roman" w:hAnsi="Times New Roman" w:hint="eastAsia"/>
        </w:rPr>
        <w:t>硅藻泥生产</w:t>
      </w:r>
      <w:r>
        <w:rPr>
          <w:rFonts w:ascii="Times New Roman" w:hAnsi="Times New Roman"/>
        </w:rPr>
        <w:t>过程中</w:t>
      </w:r>
      <w:r>
        <w:rPr>
          <w:rFonts w:ascii="Times New Roman" w:hAnsi="Times New Roman" w:hint="eastAsia"/>
        </w:rPr>
        <w:t>原料</w:t>
      </w:r>
      <w:r>
        <w:rPr>
          <w:rFonts w:ascii="Times New Roman" w:hAnsi="Times New Roman"/>
        </w:rPr>
        <w:t>生产过程贡献最大，</w:t>
      </w:r>
      <w:r>
        <w:rPr>
          <w:rFonts w:ascii="Times New Roman" w:hAnsi="Times New Roman" w:hint="eastAsia"/>
        </w:rPr>
        <w:t>主要</w:t>
      </w:r>
      <w:r>
        <w:rPr>
          <w:rFonts w:ascii="Times New Roman" w:hAnsi="Times New Roman"/>
        </w:rPr>
        <w:t>为钛白粉生产和滑石粉生产</w:t>
      </w:r>
      <w:r>
        <w:rPr>
          <w:rFonts w:ascii="Times New Roman" w:hAnsi="Times New Roman" w:hint="eastAsia"/>
        </w:rPr>
        <w:t>。</w:t>
      </w:r>
      <w:r w:rsidRPr="000A7AA3">
        <w:rPr>
          <w:rFonts w:ascii="Times New Roman" w:hAnsi="Times New Roman" w:hint="eastAsia"/>
        </w:rPr>
        <w:t>该企业吨产品电耗明显低于其他两家，故电力生产占比较低</w:t>
      </w:r>
      <w:r>
        <w:rPr>
          <w:rFonts w:ascii="Times New Roman" w:hAnsi="Times New Roman" w:hint="eastAsia"/>
        </w:rPr>
        <w:t>。</w:t>
      </w:r>
      <w:bookmarkStart w:id="0" w:name="_GoBack"/>
      <w:bookmarkEnd w:id="0"/>
    </w:p>
    <w:p w:rsidR="0036137C" w:rsidRPr="00625CAA" w:rsidRDefault="0036137C" w:rsidP="0079660C">
      <w:pPr>
        <w:pStyle w:val="aa"/>
        <w:ind w:firstLineChars="177" w:firstLine="425"/>
        <w:rPr>
          <w:rFonts w:ascii="Times New Roman" w:hAnsi="Times New Roman" w:cs="Times New Roman"/>
        </w:rPr>
      </w:pPr>
      <w:r>
        <w:rPr>
          <w:rFonts w:ascii="Times New Roman" w:hAnsi="Times New Roman" w:cs="Times New Roman"/>
        </w:rPr>
        <w:lastRenderedPageBreak/>
        <w:t>三家企业数据在行业内属于较为典型的前提下，</w:t>
      </w:r>
      <w:r>
        <w:rPr>
          <w:rFonts w:ascii="Times New Roman" w:hAnsi="Times New Roman" w:cs="Times New Roman" w:hint="eastAsia"/>
        </w:rPr>
        <w:t>以目前</w:t>
      </w:r>
      <w:r>
        <w:rPr>
          <w:rFonts w:ascii="Times New Roman" w:hAnsi="Times New Roman" w:cs="Times New Roman"/>
        </w:rPr>
        <w:t>三家企业数据为基础，选取的环境影响类型为：颗粒物形成</w:t>
      </w:r>
      <w:r>
        <w:rPr>
          <w:rFonts w:ascii="Times New Roman" w:hAnsi="Times New Roman" w:cs="Times New Roman" w:hint="eastAsia"/>
        </w:rPr>
        <w:t>、全球</w:t>
      </w:r>
      <w:r>
        <w:rPr>
          <w:rFonts w:ascii="Times New Roman" w:hAnsi="Times New Roman" w:cs="Times New Roman"/>
        </w:rPr>
        <w:t>变暖</w:t>
      </w:r>
      <w:r>
        <w:rPr>
          <w:rFonts w:ascii="Times New Roman" w:hAnsi="Times New Roman" w:cs="Times New Roman" w:hint="eastAsia"/>
        </w:rPr>
        <w:t>、</w:t>
      </w:r>
      <w:r w:rsidR="0079660C">
        <w:rPr>
          <w:rFonts w:ascii="Times New Roman" w:hAnsi="Times New Roman" w:cs="Times New Roman" w:hint="eastAsia"/>
        </w:rPr>
        <w:t>矿产资源耗竭、</w:t>
      </w:r>
      <w:r>
        <w:rPr>
          <w:rFonts w:ascii="Times New Roman" w:hAnsi="Times New Roman" w:cs="Times New Roman"/>
        </w:rPr>
        <w:t>化石能源</w:t>
      </w:r>
      <w:r w:rsidR="0079660C">
        <w:rPr>
          <w:rFonts w:ascii="Times New Roman" w:hAnsi="Times New Roman" w:cs="Times New Roman" w:hint="eastAsia"/>
        </w:rPr>
        <w:t>稀缺</w:t>
      </w:r>
      <w:r w:rsidR="0079660C">
        <w:rPr>
          <w:rFonts w:ascii="Times New Roman" w:hAnsi="Times New Roman" w:cs="Times New Roman" w:hint="eastAsia"/>
        </w:rPr>
        <w:t>4</w:t>
      </w:r>
      <w:r w:rsidR="0079660C">
        <w:rPr>
          <w:rFonts w:ascii="Times New Roman" w:hAnsi="Times New Roman" w:cs="Times New Roman" w:hint="eastAsia"/>
        </w:rPr>
        <w:t>个指标。综合考虑资源、能源、产品等指标，</w:t>
      </w:r>
      <w:r w:rsidR="0079660C">
        <w:rPr>
          <w:rFonts w:hint="eastAsia"/>
        </w:rPr>
        <w:t>三家企业相对比较集中，考虑未来行业的发展，标准还应具有普适性，未来新建企业在原料加工和运输会有较大变化，所以增加化石能源稀缺这个环境影响类型。</w:t>
      </w:r>
    </w:p>
    <w:p w:rsidR="00E2537C" w:rsidRPr="007F5679" w:rsidRDefault="00E2537C" w:rsidP="00BC79AE">
      <w:r w:rsidRPr="007F5679">
        <w:t>（三）验证试验</w:t>
      </w:r>
      <w:r w:rsidRPr="007F5679">
        <w:rPr>
          <w:rFonts w:hint="eastAsia"/>
        </w:rPr>
        <w:t>、推广应用和预期达到的经济效果</w:t>
      </w:r>
    </w:p>
    <w:p w:rsidR="00E2537C" w:rsidRPr="007F5679" w:rsidRDefault="007F5679" w:rsidP="00BC79AE">
      <w:r>
        <w:rPr>
          <w:rFonts w:hint="eastAsia"/>
        </w:rPr>
        <w:t>1、</w:t>
      </w:r>
      <w:r w:rsidR="00E2537C" w:rsidRPr="007F5679">
        <w:rPr>
          <w:rFonts w:hint="eastAsia"/>
        </w:rPr>
        <w:t>验证试验和技术指标的确定</w:t>
      </w:r>
    </w:p>
    <w:p w:rsidR="00C034AC" w:rsidRDefault="00C034AC" w:rsidP="00BC79AE">
      <w:r w:rsidRPr="00C034AC">
        <w:rPr>
          <w:rFonts w:hint="eastAsia"/>
        </w:rPr>
        <w:t>品质属性中的有害物质指标应与欧洲</w:t>
      </w:r>
      <w:r w:rsidR="000F1C0B">
        <w:rPr>
          <w:rFonts w:hint="eastAsia"/>
        </w:rPr>
        <w:t>生态</w:t>
      </w:r>
      <w:r w:rsidRPr="00C034AC">
        <w:rPr>
          <w:rFonts w:hint="eastAsia"/>
        </w:rPr>
        <w:t>标签一致，个别指标可参考其他的先进国家或地区。</w:t>
      </w:r>
      <w:r>
        <w:rPr>
          <w:rFonts w:hint="eastAsia"/>
        </w:rPr>
        <w:t>有些指标结合中国的实际情况</w:t>
      </w:r>
      <w:r w:rsidR="00E87340">
        <w:rPr>
          <w:rFonts w:hint="eastAsia"/>
        </w:rPr>
        <w:t>或者国际尚未定论的指标项目</w:t>
      </w:r>
      <w:r>
        <w:rPr>
          <w:rFonts w:hint="eastAsia"/>
        </w:rPr>
        <w:t>进行了调整</w:t>
      </w:r>
      <w:r w:rsidR="00E87340">
        <w:rPr>
          <w:rFonts w:hint="eastAsia"/>
        </w:rPr>
        <w:t>，如生物杀伤剂、TVOC等</w:t>
      </w:r>
      <w:r>
        <w:rPr>
          <w:rFonts w:hint="eastAsia"/>
        </w:rPr>
        <w:t>。</w:t>
      </w:r>
    </w:p>
    <w:p w:rsidR="003F23FE" w:rsidRDefault="003F23FE" w:rsidP="003F23FE">
      <w:r>
        <w:rPr>
          <w:rFonts w:hint="eastAsia"/>
        </w:rPr>
        <w:t>表1 不同企业调研数据</w:t>
      </w:r>
    </w:p>
    <w:tbl>
      <w:tblPr>
        <w:tblStyle w:val="ab"/>
        <w:tblW w:w="0" w:type="auto"/>
        <w:tblLook w:val="04A0"/>
      </w:tblPr>
      <w:tblGrid>
        <w:gridCol w:w="1257"/>
        <w:gridCol w:w="1828"/>
        <w:gridCol w:w="1054"/>
        <w:gridCol w:w="2273"/>
        <w:gridCol w:w="2110"/>
      </w:tblGrid>
      <w:tr w:rsidR="00E54D82" w:rsidTr="00774ABC">
        <w:tc>
          <w:tcPr>
            <w:tcW w:w="3085" w:type="dxa"/>
            <w:gridSpan w:val="2"/>
          </w:tcPr>
          <w:p w:rsidR="00E54D82" w:rsidRDefault="00E54D82" w:rsidP="00A35CB9">
            <w:pPr>
              <w:ind w:firstLineChars="0" w:firstLine="0"/>
            </w:pPr>
            <w:r>
              <w:rPr>
                <w:rFonts w:hint="eastAsia"/>
              </w:rPr>
              <w:t>二级指标</w:t>
            </w:r>
          </w:p>
        </w:tc>
        <w:tc>
          <w:tcPr>
            <w:tcW w:w="1054" w:type="dxa"/>
          </w:tcPr>
          <w:p w:rsidR="00E54D82" w:rsidRDefault="00E54D82" w:rsidP="00A35CB9">
            <w:pPr>
              <w:ind w:firstLineChars="0" w:firstLine="0"/>
            </w:pPr>
            <w:r>
              <w:rPr>
                <w:rFonts w:hint="eastAsia"/>
              </w:rPr>
              <w:t>单位</w:t>
            </w:r>
          </w:p>
        </w:tc>
        <w:tc>
          <w:tcPr>
            <w:tcW w:w="2273" w:type="dxa"/>
          </w:tcPr>
          <w:p w:rsidR="00E54D82" w:rsidRDefault="00E54D82" w:rsidP="00A35CB9">
            <w:pPr>
              <w:ind w:firstLineChars="0" w:firstLine="0"/>
            </w:pPr>
            <w:r>
              <w:rPr>
                <w:rFonts w:hint="eastAsia"/>
              </w:rPr>
              <w:t>硅藻泥</w:t>
            </w:r>
          </w:p>
        </w:tc>
        <w:tc>
          <w:tcPr>
            <w:tcW w:w="2110" w:type="dxa"/>
          </w:tcPr>
          <w:p w:rsidR="00E54D82" w:rsidRDefault="00E54D82" w:rsidP="00A35CB9">
            <w:pPr>
              <w:ind w:firstLineChars="0" w:firstLine="0"/>
            </w:pPr>
            <w:r>
              <w:rPr>
                <w:rFonts w:hint="eastAsia"/>
              </w:rPr>
              <w:t>贝壳粉</w:t>
            </w:r>
          </w:p>
        </w:tc>
      </w:tr>
      <w:tr w:rsidR="00E54D82" w:rsidTr="00774ABC">
        <w:tc>
          <w:tcPr>
            <w:tcW w:w="3085" w:type="dxa"/>
            <w:gridSpan w:val="2"/>
          </w:tcPr>
          <w:p w:rsidR="00E54D82" w:rsidRDefault="00E54D82" w:rsidP="00A35CB9">
            <w:pPr>
              <w:ind w:firstLineChars="0" w:firstLine="0"/>
            </w:pPr>
            <w:r>
              <w:rPr>
                <w:rFonts w:hint="eastAsia"/>
              </w:rPr>
              <w:t>原材料消耗量</w:t>
            </w:r>
          </w:p>
        </w:tc>
        <w:tc>
          <w:tcPr>
            <w:tcW w:w="1054" w:type="dxa"/>
          </w:tcPr>
          <w:p w:rsidR="00E54D82" w:rsidRDefault="00E54D82" w:rsidP="00A35CB9">
            <w:pPr>
              <w:ind w:firstLineChars="0" w:firstLine="0"/>
            </w:pPr>
            <w:r>
              <w:rPr>
                <w:rFonts w:hint="eastAsia"/>
              </w:rPr>
              <w:t>t/t</w:t>
            </w:r>
          </w:p>
        </w:tc>
        <w:tc>
          <w:tcPr>
            <w:tcW w:w="2273" w:type="dxa"/>
          </w:tcPr>
          <w:p w:rsidR="00E54D82" w:rsidRDefault="00E54D82" w:rsidP="00A35CB9">
            <w:pPr>
              <w:ind w:firstLineChars="0" w:firstLine="0"/>
            </w:pPr>
            <w:r>
              <w:rPr>
                <w:rFonts w:hint="eastAsia"/>
              </w:rPr>
              <w:t>0.745-1.1</w:t>
            </w:r>
          </w:p>
        </w:tc>
        <w:tc>
          <w:tcPr>
            <w:tcW w:w="2110" w:type="dxa"/>
          </w:tcPr>
          <w:p w:rsidR="00E54D82" w:rsidRDefault="0059127B" w:rsidP="00A35CB9">
            <w:pPr>
              <w:ind w:firstLineChars="0" w:firstLine="0"/>
            </w:pPr>
            <w:r>
              <w:rPr>
                <w:rFonts w:hint="eastAsia"/>
              </w:rPr>
              <w:t>0.745-1.1</w:t>
            </w:r>
          </w:p>
        </w:tc>
      </w:tr>
      <w:tr w:rsidR="00E54D82" w:rsidTr="00774ABC">
        <w:tc>
          <w:tcPr>
            <w:tcW w:w="3085" w:type="dxa"/>
            <w:gridSpan w:val="2"/>
          </w:tcPr>
          <w:p w:rsidR="00E54D82" w:rsidRDefault="00E54D82" w:rsidP="00A35CB9">
            <w:pPr>
              <w:ind w:firstLineChars="0" w:firstLine="0"/>
            </w:pPr>
            <w:r>
              <w:rPr>
                <w:rFonts w:hint="eastAsia"/>
              </w:rPr>
              <w:t>产品综合能耗</w:t>
            </w:r>
          </w:p>
        </w:tc>
        <w:tc>
          <w:tcPr>
            <w:tcW w:w="1054" w:type="dxa"/>
          </w:tcPr>
          <w:p w:rsidR="00E54D82" w:rsidRDefault="00E54D82" w:rsidP="00A35CB9">
            <w:pPr>
              <w:ind w:firstLineChars="0" w:firstLine="0"/>
            </w:pPr>
            <w:proofErr w:type="spellStart"/>
            <w:r>
              <w:rPr>
                <w:rFonts w:hint="eastAsia"/>
              </w:rPr>
              <w:t>kgce</w:t>
            </w:r>
            <w:proofErr w:type="spellEnd"/>
            <w:r>
              <w:rPr>
                <w:rFonts w:hint="eastAsia"/>
              </w:rPr>
              <w:t>/t</w:t>
            </w:r>
          </w:p>
        </w:tc>
        <w:tc>
          <w:tcPr>
            <w:tcW w:w="2273" w:type="dxa"/>
          </w:tcPr>
          <w:p w:rsidR="00E54D82" w:rsidRDefault="00E54D82" w:rsidP="00A35CB9">
            <w:pPr>
              <w:ind w:firstLineChars="0" w:firstLine="0"/>
            </w:pPr>
            <w:r>
              <w:rPr>
                <w:rFonts w:hint="eastAsia"/>
              </w:rPr>
              <w:t>10.32-33.9</w:t>
            </w:r>
          </w:p>
        </w:tc>
        <w:tc>
          <w:tcPr>
            <w:tcW w:w="2110" w:type="dxa"/>
          </w:tcPr>
          <w:p w:rsidR="00E54D82" w:rsidRDefault="0059127B" w:rsidP="00A35CB9">
            <w:pPr>
              <w:ind w:firstLineChars="0" w:firstLine="0"/>
            </w:pPr>
            <w:r>
              <w:rPr>
                <w:rFonts w:hint="eastAsia"/>
              </w:rPr>
              <w:t>10.32-33.9</w:t>
            </w:r>
          </w:p>
        </w:tc>
      </w:tr>
      <w:tr w:rsidR="00E54D82" w:rsidTr="00774ABC">
        <w:tc>
          <w:tcPr>
            <w:tcW w:w="3085" w:type="dxa"/>
            <w:gridSpan w:val="2"/>
          </w:tcPr>
          <w:p w:rsidR="00E54D82" w:rsidRDefault="00E54D82" w:rsidP="00A35CB9">
            <w:pPr>
              <w:ind w:firstLineChars="0" w:firstLine="0"/>
            </w:pPr>
            <w:r>
              <w:rPr>
                <w:rFonts w:hint="eastAsia"/>
              </w:rPr>
              <w:t>贝壳粉用量</w:t>
            </w:r>
          </w:p>
        </w:tc>
        <w:tc>
          <w:tcPr>
            <w:tcW w:w="1054" w:type="dxa"/>
          </w:tcPr>
          <w:p w:rsidR="00E54D82" w:rsidRDefault="00E54D82" w:rsidP="00A35CB9">
            <w:pPr>
              <w:ind w:firstLineChars="0" w:firstLine="0"/>
            </w:pPr>
            <w:r>
              <w:rPr>
                <w:rFonts w:hint="eastAsia"/>
              </w:rPr>
              <w:t>%</w:t>
            </w:r>
          </w:p>
        </w:tc>
        <w:tc>
          <w:tcPr>
            <w:tcW w:w="2273" w:type="dxa"/>
          </w:tcPr>
          <w:p w:rsidR="00E54D82" w:rsidRDefault="0059127B" w:rsidP="00A35CB9">
            <w:pPr>
              <w:ind w:firstLineChars="0" w:firstLine="0"/>
            </w:pPr>
            <w:r>
              <w:rPr>
                <w:rFonts w:hint="eastAsia"/>
              </w:rPr>
              <w:t>-</w:t>
            </w:r>
          </w:p>
        </w:tc>
        <w:tc>
          <w:tcPr>
            <w:tcW w:w="2110" w:type="dxa"/>
          </w:tcPr>
          <w:p w:rsidR="00E54D82" w:rsidRDefault="0059127B" w:rsidP="00A35CB9">
            <w:pPr>
              <w:ind w:firstLineChars="0" w:firstLine="0"/>
            </w:pPr>
            <w:r>
              <w:rPr>
                <w:rFonts w:hint="eastAsia"/>
              </w:rPr>
              <w:t>15-40</w:t>
            </w:r>
          </w:p>
        </w:tc>
      </w:tr>
      <w:tr w:rsidR="00E54D82" w:rsidTr="00774ABC">
        <w:tc>
          <w:tcPr>
            <w:tcW w:w="3085" w:type="dxa"/>
            <w:gridSpan w:val="2"/>
          </w:tcPr>
          <w:p w:rsidR="00E54D82" w:rsidRDefault="00E54D82" w:rsidP="00A35CB9">
            <w:pPr>
              <w:ind w:firstLineChars="0" w:firstLine="0"/>
            </w:pPr>
            <w:r>
              <w:rPr>
                <w:rFonts w:hint="eastAsia"/>
              </w:rPr>
              <w:t>昼间厂界环境噪声</w:t>
            </w:r>
          </w:p>
        </w:tc>
        <w:tc>
          <w:tcPr>
            <w:tcW w:w="1054" w:type="dxa"/>
            <w:vAlign w:val="center"/>
          </w:tcPr>
          <w:p w:rsidR="00E54D82" w:rsidRPr="00E54D82" w:rsidRDefault="00E54D82" w:rsidP="00E54D82">
            <w:pPr>
              <w:ind w:firstLineChars="0" w:firstLine="0"/>
            </w:pPr>
            <w:r w:rsidRPr="00E54D82">
              <w:rPr>
                <w:rFonts w:hint="eastAsia"/>
              </w:rPr>
              <w:t>dB(A)</w:t>
            </w:r>
          </w:p>
        </w:tc>
        <w:tc>
          <w:tcPr>
            <w:tcW w:w="2273" w:type="dxa"/>
          </w:tcPr>
          <w:p w:rsidR="00E54D82" w:rsidRDefault="003916E2" w:rsidP="00A35CB9">
            <w:pPr>
              <w:ind w:firstLineChars="0" w:firstLine="0"/>
            </w:pPr>
            <w:r>
              <w:rPr>
                <w:rFonts w:hint="eastAsia"/>
              </w:rPr>
              <w:t>53.1-55.6</w:t>
            </w:r>
          </w:p>
        </w:tc>
        <w:tc>
          <w:tcPr>
            <w:tcW w:w="2110" w:type="dxa"/>
          </w:tcPr>
          <w:p w:rsidR="00E54D82" w:rsidRDefault="003916E2" w:rsidP="00A35CB9">
            <w:pPr>
              <w:ind w:firstLineChars="0" w:firstLine="0"/>
            </w:pPr>
            <w:r>
              <w:rPr>
                <w:rFonts w:hint="eastAsia"/>
              </w:rPr>
              <w:t>53.4-56.4</w:t>
            </w:r>
          </w:p>
        </w:tc>
      </w:tr>
      <w:tr w:rsidR="00E54D82" w:rsidTr="00774ABC">
        <w:tc>
          <w:tcPr>
            <w:tcW w:w="3085" w:type="dxa"/>
            <w:gridSpan w:val="2"/>
          </w:tcPr>
          <w:p w:rsidR="00E54D82" w:rsidRDefault="00E54D82" w:rsidP="00A35CB9">
            <w:pPr>
              <w:ind w:firstLineChars="0" w:firstLine="0"/>
            </w:pPr>
            <w:r>
              <w:rPr>
                <w:rFonts w:hint="eastAsia"/>
              </w:rPr>
              <w:t>夜间厂界环境噪声</w:t>
            </w:r>
          </w:p>
        </w:tc>
        <w:tc>
          <w:tcPr>
            <w:tcW w:w="1054" w:type="dxa"/>
            <w:vAlign w:val="center"/>
          </w:tcPr>
          <w:p w:rsidR="00E54D82" w:rsidRPr="00E54D82" w:rsidRDefault="00E54D82" w:rsidP="00E54D82">
            <w:pPr>
              <w:ind w:firstLineChars="0" w:firstLine="0"/>
            </w:pPr>
            <w:r w:rsidRPr="00E54D82">
              <w:rPr>
                <w:rFonts w:hint="eastAsia"/>
              </w:rPr>
              <w:t>dB(A)</w:t>
            </w:r>
          </w:p>
        </w:tc>
        <w:tc>
          <w:tcPr>
            <w:tcW w:w="2273" w:type="dxa"/>
          </w:tcPr>
          <w:p w:rsidR="00E54D82" w:rsidRDefault="003916E2" w:rsidP="00A35CB9">
            <w:pPr>
              <w:ind w:firstLineChars="0" w:firstLine="0"/>
            </w:pPr>
            <w:r>
              <w:rPr>
                <w:rFonts w:hint="eastAsia"/>
              </w:rPr>
              <w:t>43.7-45.3</w:t>
            </w:r>
          </w:p>
        </w:tc>
        <w:tc>
          <w:tcPr>
            <w:tcW w:w="2110" w:type="dxa"/>
          </w:tcPr>
          <w:p w:rsidR="00E54D82" w:rsidRDefault="003916E2" w:rsidP="00A35CB9">
            <w:pPr>
              <w:ind w:firstLineChars="0" w:firstLine="0"/>
            </w:pPr>
            <w:r>
              <w:rPr>
                <w:rFonts w:hint="eastAsia"/>
              </w:rPr>
              <w:t>43.1-48.9</w:t>
            </w:r>
          </w:p>
        </w:tc>
      </w:tr>
      <w:tr w:rsidR="00E54D82" w:rsidTr="00774ABC">
        <w:tc>
          <w:tcPr>
            <w:tcW w:w="3085" w:type="dxa"/>
            <w:gridSpan w:val="2"/>
          </w:tcPr>
          <w:p w:rsidR="00E54D82" w:rsidRDefault="00E54D82" w:rsidP="00A35CB9">
            <w:pPr>
              <w:ind w:firstLineChars="0" w:firstLine="0"/>
            </w:pPr>
            <w:r>
              <w:rPr>
                <w:rFonts w:hint="eastAsia"/>
              </w:rPr>
              <w:t>甲醛含量</w:t>
            </w:r>
          </w:p>
        </w:tc>
        <w:tc>
          <w:tcPr>
            <w:tcW w:w="1054" w:type="dxa"/>
            <w:vAlign w:val="center"/>
          </w:tcPr>
          <w:p w:rsidR="00E54D82" w:rsidRPr="00E54D82" w:rsidRDefault="00E54D82" w:rsidP="00E54D82">
            <w:pPr>
              <w:ind w:firstLineChars="0" w:firstLine="0"/>
            </w:pPr>
            <w:r w:rsidRPr="00E54D82">
              <w:t>mg/</w:t>
            </w:r>
            <w:r w:rsidRPr="00E54D82">
              <w:rPr>
                <w:rFonts w:hint="eastAsia"/>
              </w:rPr>
              <w:t>kg</w:t>
            </w:r>
          </w:p>
        </w:tc>
        <w:tc>
          <w:tcPr>
            <w:tcW w:w="2273" w:type="dxa"/>
          </w:tcPr>
          <w:p w:rsidR="00E54D82" w:rsidRDefault="006072ED" w:rsidP="00A35CB9">
            <w:pPr>
              <w:ind w:firstLineChars="0" w:firstLine="0"/>
            </w:pPr>
            <w:r>
              <w:rPr>
                <w:rFonts w:hint="eastAsia"/>
              </w:rPr>
              <w:t>3-13</w:t>
            </w:r>
          </w:p>
        </w:tc>
        <w:tc>
          <w:tcPr>
            <w:tcW w:w="2110" w:type="dxa"/>
          </w:tcPr>
          <w:p w:rsidR="00E54D82" w:rsidRDefault="006072ED" w:rsidP="00A35CB9">
            <w:pPr>
              <w:ind w:firstLineChars="0" w:firstLine="0"/>
            </w:pPr>
            <w:r>
              <w:rPr>
                <w:rFonts w:hint="eastAsia"/>
              </w:rPr>
              <w:t>3-9</w:t>
            </w:r>
          </w:p>
        </w:tc>
      </w:tr>
      <w:tr w:rsidR="00E54D82" w:rsidTr="00774ABC">
        <w:tc>
          <w:tcPr>
            <w:tcW w:w="3085" w:type="dxa"/>
            <w:gridSpan w:val="2"/>
          </w:tcPr>
          <w:p w:rsidR="00E54D82" w:rsidRDefault="00E54D82" w:rsidP="00A35CB9">
            <w:pPr>
              <w:ind w:firstLineChars="0" w:firstLine="0"/>
            </w:pPr>
            <w:r>
              <w:rPr>
                <w:rFonts w:hint="eastAsia"/>
              </w:rPr>
              <w:t>苯、甲苯、二甲苯含量总和</w:t>
            </w:r>
          </w:p>
        </w:tc>
        <w:tc>
          <w:tcPr>
            <w:tcW w:w="1054" w:type="dxa"/>
          </w:tcPr>
          <w:p w:rsidR="00E54D82" w:rsidRDefault="00E54D82" w:rsidP="00A35CB9">
            <w:pPr>
              <w:ind w:firstLineChars="0" w:firstLine="0"/>
            </w:pPr>
            <w:r w:rsidRPr="00E54D82">
              <w:t>mg/</w:t>
            </w:r>
            <w:r w:rsidRPr="00E54D82">
              <w:rPr>
                <w:rFonts w:hint="eastAsia"/>
              </w:rPr>
              <w:t>kg</w:t>
            </w:r>
          </w:p>
        </w:tc>
        <w:tc>
          <w:tcPr>
            <w:tcW w:w="2273" w:type="dxa"/>
          </w:tcPr>
          <w:p w:rsidR="00E54D82" w:rsidRDefault="006072ED" w:rsidP="00A35CB9">
            <w:pPr>
              <w:ind w:firstLineChars="0" w:firstLine="0"/>
            </w:pPr>
            <w:r>
              <w:rPr>
                <w:rFonts w:hint="eastAsia"/>
              </w:rPr>
              <w:t>未检出</w:t>
            </w:r>
          </w:p>
        </w:tc>
        <w:tc>
          <w:tcPr>
            <w:tcW w:w="2110" w:type="dxa"/>
          </w:tcPr>
          <w:p w:rsidR="00E54D82" w:rsidRDefault="006072ED" w:rsidP="00A35CB9">
            <w:pPr>
              <w:ind w:firstLineChars="0" w:firstLine="0"/>
            </w:pPr>
            <w:r>
              <w:rPr>
                <w:rFonts w:hint="eastAsia"/>
              </w:rPr>
              <w:t>未检出</w:t>
            </w:r>
          </w:p>
        </w:tc>
      </w:tr>
      <w:tr w:rsidR="00E54D82" w:rsidTr="00774ABC">
        <w:tc>
          <w:tcPr>
            <w:tcW w:w="1257" w:type="dxa"/>
            <w:vMerge w:val="restart"/>
          </w:tcPr>
          <w:p w:rsidR="00E54D82" w:rsidRDefault="00E54D82" w:rsidP="00A35CB9">
            <w:pPr>
              <w:ind w:firstLineChars="0" w:firstLine="0"/>
            </w:pPr>
            <w:r>
              <w:rPr>
                <w:rFonts w:hint="eastAsia"/>
              </w:rPr>
              <w:t>重金属元素含量</w:t>
            </w:r>
          </w:p>
        </w:tc>
        <w:tc>
          <w:tcPr>
            <w:tcW w:w="1828" w:type="dxa"/>
          </w:tcPr>
          <w:p w:rsidR="00E54D82" w:rsidRDefault="00E54D82" w:rsidP="00A35CB9">
            <w:pPr>
              <w:ind w:firstLineChars="0" w:firstLine="0"/>
            </w:pPr>
            <w:r>
              <w:rPr>
                <w:rFonts w:hint="eastAsia"/>
              </w:rPr>
              <w:t>铅</w:t>
            </w:r>
          </w:p>
        </w:tc>
        <w:tc>
          <w:tcPr>
            <w:tcW w:w="1054" w:type="dxa"/>
          </w:tcPr>
          <w:p w:rsidR="00E54D82" w:rsidRDefault="00E54D82" w:rsidP="00A35CB9">
            <w:pPr>
              <w:ind w:firstLineChars="0" w:firstLine="0"/>
            </w:pPr>
            <w:r w:rsidRPr="00E54D82">
              <w:t>mg/</w:t>
            </w:r>
            <w:r w:rsidRPr="00E54D82">
              <w:rPr>
                <w:rFonts w:hint="eastAsia"/>
              </w:rPr>
              <w:t>kg</w:t>
            </w:r>
          </w:p>
        </w:tc>
        <w:tc>
          <w:tcPr>
            <w:tcW w:w="2273" w:type="dxa"/>
          </w:tcPr>
          <w:p w:rsidR="00E54D82" w:rsidRDefault="006072ED" w:rsidP="00A35CB9">
            <w:pPr>
              <w:ind w:firstLineChars="0" w:firstLine="0"/>
            </w:pPr>
            <w:r>
              <w:rPr>
                <w:rFonts w:hint="eastAsia"/>
              </w:rPr>
              <w:t>2-14</w:t>
            </w:r>
          </w:p>
        </w:tc>
        <w:tc>
          <w:tcPr>
            <w:tcW w:w="2110" w:type="dxa"/>
          </w:tcPr>
          <w:p w:rsidR="00E54D82" w:rsidRDefault="006072ED" w:rsidP="00A35CB9">
            <w:pPr>
              <w:ind w:firstLineChars="0" w:firstLine="0"/>
            </w:pPr>
            <w:r>
              <w:rPr>
                <w:rFonts w:hint="eastAsia"/>
              </w:rPr>
              <w:t>2-16</w:t>
            </w:r>
          </w:p>
        </w:tc>
      </w:tr>
      <w:tr w:rsidR="00E54D82" w:rsidTr="00774ABC">
        <w:tc>
          <w:tcPr>
            <w:tcW w:w="1257" w:type="dxa"/>
            <w:vMerge/>
          </w:tcPr>
          <w:p w:rsidR="00E54D82" w:rsidRDefault="00E54D82" w:rsidP="00A35CB9">
            <w:pPr>
              <w:ind w:firstLineChars="0" w:firstLine="0"/>
            </w:pPr>
          </w:p>
        </w:tc>
        <w:tc>
          <w:tcPr>
            <w:tcW w:w="1828" w:type="dxa"/>
          </w:tcPr>
          <w:p w:rsidR="00E54D82" w:rsidRDefault="00E54D82" w:rsidP="00A35CB9">
            <w:pPr>
              <w:ind w:firstLineChars="0" w:firstLine="0"/>
            </w:pPr>
            <w:r>
              <w:rPr>
                <w:rFonts w:hint="eastAsia"/>
              </w:rPr>
              <w:t>六价铬</w:t>
            </w:r>
          </w:p>
        </w:tc>
        <w:tc>
          <w:tcPr>
            <w:tcW w:w="1054" w:type="dxa"/>
          </w:tcPr>
          <w:p w:rsidR="00E54D82" w:rsidRDefault="00E54D82" w:rsidP="00A35CB9">
            <w:pPr>
              <w:ind w:firstLineChars="0" w:firstLine="0"/>
            </w:pPr>
            <w:r w:rsidRPr="00E54D82">
              <w:t>mg/</w:t>
            </w:r>
            <w:r w:rsidRPr="00E54D82">
              <w:rPr>
                <w:rFonts w:hint="eastAsia"/>
              </w:rPr>
              <w:t>kg</w:t>
            </w:r>
          </w:p>
        </w:tc>
        <w:tc>
          <w:tcPr>
            <w:tcW w:w="2273" w:type="dxa"/>
          </w:tcPr>
          <w:p w:rsidR="00E54D82" w:rsidRDefault="006072ED" w:rsidP="00A35CB9">
            <w:pPr>
              <w:ind w:firstLineChars="0" w:firstLine="0"/>
            </w:pPr>
            <w:r>
              <w:rPr>
                <w:rFonts w:hint="eastAsia"/>
              </w:rPr>
              <w:t>2-9.6</w:t>
            </w:r>
          </w:p>
        </w:tc>
        <w:tc>
          <w:tcPr>
            <w:tcW w:w="2110" w:type="dxa"/>
          </w:tcPr>
          <w:p w:rsidR="00E54D82" w:rsidRDefault="003916E2" w:rsidP="00A35CB9">
            <w:pPr>
              <w:ind w:firstLineChars="0" w:firstLine="0"/>
            </w:pPr>
            <w:r>
              <w:rPr>
                <w:rFonts w:hint="eastAsia"/>
              </w:rPr>
              <w:t>未检出</w:t>
            </w:r>
          </w:p>
        </w:tc>
      </w:tr>
      <w:tr w:rsidR="00E54D82" w:rsidTr="00774ABC">
        <w:tc>
          <w:tcPr>
            <w:tcW w:w="1257" w:type="dxa"/>
            <w:vMerge/>
          </w:tcPr>
          <w:p w:rsidR="00E54D82" w:rsidRDefault="00E54D82" w:rsidP="00A35CB9">
            <w:pPr>
              <w:ind w:firstLineChars="0" w:firstLine="0"/>
            </w:pPr>
          </w:p>
        </w:tc>
        <w:tc>
          <w:tcPr>
            <w:tcW w:w="1828" w:type="dxa"/>
          </w:tcPr>
          <w:p w:rsidR="00E54D82" w:rsidRDefault="00E54D82" w:rsidP="00A35CB9">
            <w:pPr>
              <w:ind w:firstLineChars="0" w:firstLine="0"/>
            </w:pPr>
            <w:r>
              <w:rPr>
                <w:rFonts w:hint="eastAsia"/>
              </w:rPr>
              <w:t>镉</w:t>
            </w:r>
          </w:p>
        </w:tc>
        <w:tc>
          <w:tcPr>
            <w:tcW w:w="1054" w:type="dxa"/>
          </w:tcPr>
          <w:p w:rsidR="00E54D82" w:rsidRDefault="00E54D82" w:rsidP="00A35CB9">
            <w:pPr>
              <w:ind w:firstLineChars="0" w:firstLine="0"/>
            </w:pPr>
            <w:r w:rsidRPr="00E54D82">
              <w:t>mg/</w:t>
            </w:r>
            <w:r w:rsidRPr="00E54D82">
              <w:rPr>
                <w:rFonts w:hint="eastAsia"/>
              </w:rPr>
              <w:t>kg</w:t>
            </w:r>
          </w:p>
        </w:tc>
        <w:tc>
          <w:tcPr>
            <w:tcW w:w="2273" w:type="dxa"/>
          </w:tcPr>
          <w:p w:rsidR="00E54D82" w:rsidRDefault="003916E2" w:rsidP="00A35CB9">
            <w:pPr>
              <w:ind w:firstLineChars="0" w:firstLine="0"/>
            </w:pPr>
            <w:r>
              <w:rPr>
                <w:rFonts w:hint="eastAsia"/>
              </w:rPr>
              <w:t>未检出</w:t>
            </w:r>
          </w:p>
        </w:tc>
        <w:tc>
          <w:tcPr>
            <w:tcW w:w="2110" w:type="dxa"/>
          </w:tcPr>
          <w:p w:rsidR="00E54D82" w:rsidRDefault="003916E2" w:rsidP="00A35CB9">
            <w:pPr>
              <w:ind w:firstLineChars="0" w:firstLine="0"/>
            </w:pPr>
            <w:r>
              <w:rPr>
                <w:rFonts w:hint="eastAsia"/>
              </w:rPr>
              <w:t>未检出</w:t>
            </w:r>
          </w:p>
        </w:tc>
      </w:tr>
      <w:tr w:rsidR="00E54D82" w:rsidTr="00774ABC">
        <w:tc>
          <w:tcPr>
            <w:tcW w:w="1257" w:type="dxa"/>
            <w:vMerge/>
          </w:tcPr>
          <w:p w:rsidR="00E54D82" w:rsidRDefault="00E54D82" w:rsidP="00A35CB9">
            <w:pPr>
              <w:ind w:firstLineChars="0" w:firstLine="0"/>
            </w:pPr>
          </w:p>
        </w:tc>
        <w:tc>
          <w:tcPr>
            <w:tcW w:w="1828" w:type="dxa"/>
          </w:tcPr>
          <w:p w:rsidR="00E54D82" w:rsidRDefault="00E54D82" w:rsidP="00A35CB9">
            <w:pPr>
              <w:ind w:firstLineChars="0" w:firstLine="0"/>
            </w:pPr>
            <w:r>
              <w:rPr>
                <w:rFonts w:hint="eastAsia"/>
              </w:rPr>
              <w:t>汞</w:t>
            </w:r>
          </w:p>
        </w:tc>
        <w:tc>
          <w:tcPr>
            <w:tcW w:w="1054" w:type="dxa"/>
          </w:tcPr>
          <w:p w:rsidR="00E54D82" w:rsidRDefault="00E54D82" w:rsidP="00A35CB9">
            <w:pPr>
              <w:ind w:firstLineChars="0" w:firstLine="0"/>
            </w:pPr>
            <w:r w:rsidRPr="00E54D82">
              <w:t>mg/</w:t>
            </w:r>
            <w:r w:rsidRPr="00E54D82">
              <w:rPr>
                <w:rFonts w:hint="eastAsia"/>
              </w:rPr>
              <w:t>kg</w:t>
            </w:r>
          </w:p>
        </w:tc>
        <w:tc>
          <w:tcPr>
            <w:tcW w:w="2273" w:type="dxa"/>
          </w:tcPr>
          <w:p w:rsidR="00E54D82" w:rsidRDefault="003916E2" w:rsidP="00A35CB9">
            <w:pPr>
              <w:ind w:firstLineChars="0" w:firstLine="0"/>
            </w:pPr>
            <w:r>
              <w:rPr>
                <w:rFonts w:hint="eastAsia"/>
              </w:rPr>
              <w:t>未检出</w:t>
            </w:r>
          </w:p>
        </w:tc>
        <w:tc>
          <w:tcPr>
            <w:tcW w:w="2110" w:type="dxa"/>
          </w:tcPr>
          <w:p w:rsidR="00E54D82" w:rsidRDefault="003916E2" w:rsidP="00A35CB9">
            <w:pPr>
              <w:ind w:firstLineChars="0" w:firstLine="0"/>
            </w:pPr>
            <w:r>
              <w:rPr>
                <w:rFonts w:hint="eastAsia"/>
              </w:rPr>
              <w:t>未检出</w:t>
            </w:r>
          </w:p>
        </w:tc>
      </w:tr>
      <w:tr w:rsidR="00E54D82" w:rsidTr="00774ABC">
        <w:tc>
          <w:tcPr>
            <w:tcW w:w="1257" w:type="dxa"/>
            <w:vMerge/>
          </w:tcPr>
          <w:p w:rsidR="00E54D82" w:rsidRDefault="00E54D82" w:rsidP="00A35CB9">
            <w:pPr>
              <w:ind w:firstLineChars="0" w:firstLine="0"/>
            </w:pPr>
          </w:p>
        </w:tc>
        <w:tc>
          <w:tcPr>
            <w:tcW w:w="1828" w:type="dxa"/>
          </w:tcPr>
          <w:p w:rsidR="00E54D82" w:rsidRDefault="00E54D82" w:rsidP="00A35CB9">
            <w:pPr>
              <w:ind w:firstLineChars="0" w:firstLine="0"/>
            </w:pPr>
            <w:r>
              <w:rPr>
                <w:rFonts w:hint="eastAsia"/>
              </w:rPr>
              <w:t>砷</w:t>
            </w:r>
          </w:p>
        </w:tc>
        <w:tc>
          <w:tcPr>
            <w:tcW w:w="1054" w:type="dxa"/>
          </w:tcPr>
          <w:p w:rsidR="00E54D82" w:rsidRDefault="00E54D82" w:rsidP="00A35CB9">
            <w:pPr>
              <w:ind w:firstLineChars="0" w:firstLine="0"/>
            </w:pPr>
            <w:r w:rsidRPr="00E54D82">
              <w:t>mg/</w:t>
            </w:r>
            <w:r w:rsidRPr="00E54D82">
              <w:rPr>
                <w:rFonts w:hint="eastAsia"/>
              </w:rPr>
              <w:t>kg</w:t>
            </w:r>
          </w:p>
        </w:tc>
        <w:tc>
          <w:tcPr>
            <w:tcW w:w="2273" w:type="dxa"/>
          </w:tcPr>
          <w:p w:rsidR="00E54D82" w:rsidRDefault="006072ED" w:rsidP="00A35CB9">
            <w:pPr>
              <w:ind w:firstLineChars="0" w:firstLine="0"/>
            </w:pPr>
            <w:r>
              <w:rPr>
                <w:rFonts w:hint="eastAsia"/>
              </w:rPr>
              <w:t>2-42</w:t>
            </w:r>
          </w:p>
        </w:tc>
        <w:tc>
          <w:tcPr>
            <w:tcW w:w="2110" w:type="dxa"/>
          </w:tcPr>
          <w:p w:rsidR="00E54D82" w:rsidRDefault="003916E2" w:rsidP="00A35CB9">
            <w:pPr>
              <w:ind w:firstLineChars="0" w:firstLine="0"/>
            </w:pPr>
            <w:r>
              <w:rPr>
                <w:rFonts w:hint="eastAsia"/>
              </w:rPr>
              <w:t>未检出</w:t>
            </w:r>
          </w:p>
        </w:tc>
      </w:tr>
      <w:tr w:rsidR="00E54D82" w:rsidTr="00774ABC">
        <w:tc>
          <w:tcPr>
            <w:tcW w:w="1257" w:type="dxa"/>
            <w:vMerge/>
          </w:tcPr>
          <w:p w:rsidR="00E54D82" w:rsidRDefault="00E54D82" w:rsidP="00A35CB9">
            <w:pPr>
              <w:ind w:firstLineChars="0" w:firstLine="0"/>
            </w:pPr>
          </w:p>
        </w:tc>
        <w:tc>
          <w:tcPr>
            <w:tcW w:w="1828" w:type="dxa"/>
          </w:tcPr>
          <w:p w:rsidR="00E54D82" w:rsidRDefault="00E54D82" w:rsidP="00A35CB9">
            <w:pPr>
              <w:ind w:firstLineChars="0" w:firstLine="0"/>
            </w:pPr>
            <w:r>
              <w:rPr>
                <w:rFonts w:hint="eastAsia"/>
              </w:rPr>
              <w:t>硒</w:t>
            </w:r>
          </w:p>
        </w:tc>
        <w:tc>
          <w:tcPr>
            <w:tcW w:w="1054" w:type="dxa"/>
          </w:tcPr>
          <w:p w:rsidR="00E54D82" w:rsidRDefault="00E54D82" w:rsidP="00A35CB9">
            <w:pPr>
              <w:ind w:firstLineChars="0" w:firstLine="0"/>
            </w:pPr>
            <w:r w:rsidRPr="00E54D82">
              <w:t>mg/</w:t>
            </w:r>
            <w:r w:rsidRPr="00E54D82">
              <w:rPr>
                <w:rFonts w:hint="eastAsia"/>
              </w:rPr>
              <w:t>kg</w:t>
            </w:r>
          </w:p>
        </w:tc>
        <w:tc>
          <w:tcPr>
            <w:tcW w:w="2273" w:type="dxa"/>
          </w:tcPr>
          <w:p w:rsidR="00E54D82" w:rsidRDefault="006072ED" w:rsidP="00A35CB9">
            <w:pPr>
              <w:ind w:firstLineChars="0" w:firstLine="0"/>
            </w:pPr>
            <w:r>
              <w:rPr>
                <w:rFonts w:hint="eastAsia"/>
              </w:rPr>
              <w:t>2-62</w:t>
            </w:r>
          </w:p>
        </w:tc>
        <w:tc>
          <w:tcPr>
            <w:tcW w:w="2110" w:type="dxa"/>
          </w:tcPr>
          <w:p w:rsidR="00E54D82" w:rsidRDefault="003916E2" w:rsidP="00A35CB9">
            <w:pPr>
              <w:ind w:firstLineChars="0" w:firstLine="0"/>
            </w:pPr>
            <w:r>
              <w:rPr>
                <w:rFonts w:hint="eastAsia"/>
              </w:rPr>
              <w:t>未检出</w:t>
            </w:r>
          </w:p>
        </w:tc>
      </w:tr>
      <w:tr w:rsidR="00E54D82" w:rsidTr="00774ABC">
        <w:tc>
          <w:tcPr>
            <w:tcW w:w="1257" w:type="dxa"/>
            <w:vMerge/>
          </w:tcPr>
          <w:p w:rsidR="00E54D82" w:rsidRDefault="00E54D82" w:rsidP="00A35CB9">
            <w:pPr>
              <w:ind w:firstLineChars="0" w:firstLine="0"/>
            </w:pPr>
          </w:p>
        </w:tc>
        <w:tc>
          <w:tcPr>
            <w:tcW w:w="1828" w:type="dxa"/>
          </w:tcPr>
          <w:p w:rsidR="00E54D82" w:rsidRDefault="00E54D82" w:rsidP="00A35CB9">
            <w:pPr>
              <w:ind w:firstLineChars="0" w:firstLine="0"/>
            </w:pPr>
            <w:r>
              <w:rPr>
                <w:rFonts w:hint="eastAsia"/>
              </w:rPr>
              <w:t>锑</w:t>
            </w:r>
          </w:p>
        </w:tc>
        <w:tc>
          <w:tcPr>
            <w:tcW w:w="1054" w:type="dxa"/>
          </w:tcPr>
          <w:p w:rsidR="00E54D82" w:rsidRDefault="00E54D82" w:rsidP="00A35CB9">
            <w:pPr>
              <w:ind w:firstLineChars="0" w:firstLine="0"/>
            </w:pPr>
            <w:r w:rsidRPr="00E54D82">
              <w:t>mg/</w:t>
            </w:r>
            <w:r w:rsidRPr="00E54D82">
              <w:rPr>
                <w:rFonts w:hint="eastAsia"/>
              </w:rPr>
              <w:t>kg</w:t>
            </w:r>
          </w:p>
        </w:tc>
        <w:tc>
          <w:tcPr>
            <w:tcW w:w="2273" w:type="dxa"/>
          </w:tcPr>
          <w:p w:rsidR="00E54D82" w:rsidRDefault="003916E2" w:rsidP="00A35CB9">
            <w:pPr>
              <w:ind w:firstLineChars="0" w:firstLine="0"/>
            </w:pPr>
            <w:r>
              <w:rPr>
                <w:rFonts w:hint="eastAsia"/>
              </w:rPr>
              <w:t>未检出</w:t>
            </w:r>
          </w:p>
        </w:tc>
        <w:tc>
          <w:tcPr>
            <w:tcW w:w="2110" w:type="dxa"/>
          </w:tcPr>
          <w:p w:rsidR="00E54D82" w:rsidRDefault="003916E2" w:rsidP="00A35CB9">
            <w:pPr>
              <w:ind w:firstLineChars="0" w:firstLine="0"/>
            </w:pPr>
            <w:r>
              <w:rPr>
                <w:rFonts w:hint="eastAsia"/>
              </w:rPr>
              <w:t>未检出</w:t>
            </w:r>
          </w:p>
        </w:tc>
      </w:tr>
      <w:tr w:rsidR="00E54D82" w:rsidTr="00774ABC">
        <w:tc>
          <w:tcPr>
            <w:tcW w:w="1257" w:type="dxa"/>
            <w:vMerge/>
          </w:tcPr>
          <w:p w:rsidR="00E54D82" w:rsidRDefault="00E54D82" w:rsidP="00A35CB9">
            <w:pPr>
              <w:ind w:firstLineChars="0" w:firstLine="0"/>
            </w:pPr>
          </w:p>
        </w:tc>
        <w:tc>
          <w:tcPr>
            <w:tcW w:w="1828" w:type="dxa"/>
          </w:tcPr>
          <w:p w:rsidR="00E54D82" w:rsidRDefault="00E54D82" w:rsidP="00A35CB9">
            <w:pPr>
              <w:ind w:firstLineChars="0" w:firstLine="0"/>
            </w:pPr>
            <w:r>
              <w:rPr>
                <w:rFonts w:hint="eastAsia"/>
              </w:rPr>
              <w:t>铬</w:t>
            </w:r>
          </w:p>
        </w:tc>
        <w:tc>
          <w:tcPr>
            <w:tcW w:w="1054" w:type="dxa"/>
          </w:tcPr>
          <w:p w:rsidR="00E54D82" w:rsidRDefault="00E54D82" w:rsidP="00A35CB9">
            <w:pPr>
              <w:ind w:firstLineChars="0" w:firstLine="0"/>
            </w:pPr>
            <w:r w:rsidRPr="00E54D82">
              <w:t>mg/</w:t>
            </w:r>
            <w:r w:rsidRPr="00E54D82">
              <w:rPr>
                <w:rFonts w:hint="eastAsia"/>
              </w:rPr>
              <w:t>kg</w:t>
            </w:r>
          </w:p>
        </w:tc>
        <w:tc>
          <w:tcPr>
            <w:tcW w:w="2273" w:type="dxa"/>
          </w:tcPr>
          <w:p w:rsidR="00E54D82" w:rsidRDefault="006072ED" w:rsidP="00A35CB9">
            <w:pPr>
              <w:ind w:firstLineChars="0" w:firstLine="0"/>
            </w:pPr>
            <w:r>
              <w:rPr>
                <w:rFonts w:hint="eastAsia"/>
              </w:rPr>
              <w:t>2-74</w:t>
            </w:r>
          </w:p>
        </w:tc>
        <w:tc>
          <w:tcPr>
            <w:tcW w:w="2110" w:type="dxa"/>
          </w:tcPr>
          <w:p w:rsidR="00E54D82" w:rsidRDefault="006072ED" w:rsidP="00A35CB9">
            <w:pPr>
              <w:ind w:firstLineChars="0" w:firstLine="0"/>
            </w:pPr>
            <w:r>
              <w:rPr>
                <w:rFonts w:hint="eastAsia"/>
              </w:rPr>
              <w:t>2-17</w:t>
            </w:r>
          </w:p>
        </w:tc>
      </w:tr>
      <w:tr w:rsidR="00E54D82" w:rsidTr="00774ABC">
        <w:tc>
          <w:tcPr>
            <w:tcW w:w="1257" w:type="dxa"/>
            <w:vMerge w:val="restart"/>
          </w:tcPr>
          <w:p w:rsidR="00E54D82" w:rsidRDefault="00E54D82" w:rsidP="00A35CB9">
            <w:pPr>
              <w:ind w:firstLineChars="0" w:firstLine="0"/>
            </w:pPr>
            <w:r>
              <w:rPr>
                <w:rFonts w:hint="eastAsia"/>
              </w:rPr>
              <w:t>放射性比</w:t>
            </w:r>
            <w:r>
              <w:rPr>
                <w:rFonts w:hint="eastAsia"/>
              </w:rPr>
              <w:lastRenderedPageBreak/>
              <w:t>活度</w:t>
            </w:r>
          </w:p>
        </w:tc>
        <w:tc>
          <w:tcPr>
            <w:tcW w:w="1828" w:type="dxa"/>
            <w:vAlign w:val="center"/>
          </w:tcPr>
          <w:p w:rsidR="00E54D82" w:rsidRPr="00E54D82" w:rsidRDefault="00E54D82" w:rsidP="00E54D82">
            <w:pPr>
              <w:ind w:firstLineChars="0" w:firstLine="0"/>
            </w:pPr>
            <w:proofErr w:type="spellStart"/>
            <w:r w:rsidRPr="00E54D82">
              <w:lastRenderedPageBreak/>
              <w:t>I</w:t>
            </w:r>
            <w:r w:rsidRPr="00E54D82">
              <w:rPr>
                <w:vertAlign w:val="subscript"/>
              </w:rPr>
              <w:t>Ra</w:t>
            </w:r>
            <w:proofErr w:type="spellEnd"/>
          </w:p>
        </w:tc>
        <w:tc>
          <w:tcPr>
            <w:tcW w:w="1054" w:type="dxa"/>
          </w:tcPr>
          <w:p w:rsidR="00E54D82" w:rsidRDefault="00E54D82" w:rsidP="00A35CB9">
            <w:pPr>
              <w:ind w:firstLineChars="0" w:firstLine="0"/>
            </w:pPr>
          </w:p>
        </w:tc>
        <w:tc>
          <w:tcPr>
            <w:tcW w:w="2273" w:type="dxa"/>
          </w:tcPr>
          <w:p w:rsidR="00E54D82" w:rsidRDefault="006072ED" w:rsidP="00A35CB9">
            <w:pPr>
              <w:ind w:firstLineChars="0" w:firstLine="0"/>
            </w:pPr>
            <w:r>
              <w:rPr>
                <w:rFonts w:hint="eastAsia"/>
              </w:rPr>
              <w:t>0.0</w:t>
            </w:r>
            <w:r w:rsidR="008B01DF">
              <w:rPr>
                <w:rFonts w:hint="eastAsia"/>
              </w:rPr>
              <w:t>-0.3</w:t>
            </w:r>
          </w:p>
        </w:tc>
        <w:tc>
          <w:tcPr>
            <w:tcW w:w="2110" w:type="dxa"/>
          </w:tcPr>
          <w:p w:rsidR="00E54D82" w:rsidRDefault="008B01DF" w:rsidP="00A35CB9">
            <w:pPr>
              <w:ind w:firstLineChars="0" w:firstLine="0"/>
            </w:pPr>
            <w:r>
              <w:rPr>
                <w:rFonts w:hint="eastAsia"/>
              </w:rPr>
              <w:t>0-0.3</w:t>
            </w:r>
          </w:p>
        </w:tc>
      </w:tr>
      <w:tr w:rsidR="00E54D82" w:rsidTr="00774ABC">
        <w:tc>
          <w:tcPr>
            <w:tcW w:w="1257" w:type="dxa"/>
            <w:vMerge/>
          </w:tcPr>
          <w:p w:rsidR="00E54D82" w:rsidRDefault="00E54D82" w:rsidP="00A35CB9">
            <w:pPr>
              <w:ind w:firstLineChars="0" w:firstLine="0"/>
            </w:pPr>
          </w:p>
        </w:tc>
        <w:tc>
          <w:tcPr>
            <w:tcW w:w="1828" w:type="dxa"/>
            <w:vAlign w:val="center"/>
          </w:tcPr>
          <w:p w:rsidR="00E54D82" w:rsidRPr="00E54D82" w:rsidRDefault="00E54D82" w:rsidP="00E54D82">
            <w:pPr>
              <w:ind w:firstLineChars="0" w:firstLine="0"/>
            </w:pPr>
            <w:proofErr w:type="spellStart"/>
            <w:r w:rsidRPr="00E54D82">
              <w:t>I</w:t>
            </w:r>
            <w:r w:rsidRPr="00E54D82">
              <w:rPr>
                <w:vertAlign w:val="subscript"/>
              </w:rPr>
              <w:t>r</w:t>
            </w:r>
            <w:proofErr w:type="spellEnd"/>
          </w:p>
        </w:tc>
        <w:tc>
          <w:tcPr>
            <w:tcW w:w="1054" w:type="dxa"/>
          </w:tcPr>
          <w:p w:rsidR="00E54D82" w:rsidRDefault="00E54D82" w:rsidP="00A35CB9">
            <w:pPr>
              <w:ind w:firstLineChars="0" w:firstLine="0"/>
            </w:pPr>
          </w:p>
        </w:tc>
        <w:tc>
          <w:tcPr>
            <w:tcW w:w="2273" w:type="dxa"/>
          </w:tcPr>
          <w:p w:rsidR="00E54D82" w:rsidRDefault="008B01DF" w:rsidP="00A35CB9">
            <w:pPr>
              <w:ind w:firstLineChars="0" w:firstLine="0"/>
            </w:pPr>
            <w:r>
              <w:rPr>
                <w:rFonts w:hint="eastAsia"/>
              </w:rPr>
              <w:t>0.2-7.7</w:t>
            </w:r>
          </w:p>
        </w:tc>
        <w:tc>
          <w:tcPr>
            <w:tcW w:w="2110" w:type="dxa"/>
          </w:tcPr>
          <w:p w:rsidR="00E54D82" w:rsidRDefault="006072ED" w:rsidP="00A35CB9">
            <w:pPr>
              <w:ind w:firstLineChars="0" w:firstLine="0"/>
            </w:pPr>
            <w:r>
              <w:rPr>
                <w:rFonts w:hint="eastAsia"/>
              </w:rPr>
              <w:t>0.2-3</w:t>
            </w:r>
            <w:r w:rsidR="008B01DF">
              <w:rPr>
                <w:rFonts w:hint="eastAsia"/>
              </w:rPr>
              <w:t>.</w:t>
            </w:r>
            <w:r>
              <w:rPr>
                <w:rFonts w:hint="eastAsia"/>
              </w:rPr>
              <w:t>5</w:t>
            </w:r>
          </w:p>
        </w:tc>
      </w:tr>
    </w:tbl>
    <w:p w:rsidR="003F23FE" w:rsidRDefault="003F23FE" w:rsidP="00BC79AE"/>
    <w:p w:rsidR="00E2537C" w:rsidRPr="007F5679" w:rsidRDefault="00E2537C" w:rsidP="00BC79AE">
      <w:r w:rsidRPr="007F5679">
        <w:rPr>
          <w:rFonts w:hint="eastAsia"/>
        </w:rPr>
        <w:t>2</w:t>
      </w:r>
      <w:r w:rsidR="007F5679">
        <w:rPr>
          <w:rFonts w:hint="eastAsia"/>
        </w:rPr>
        <w:t>、</w:t>
      </w:r>
      <w:r w:rsidRPr="007F5679">
        <w:rPr>
          <w:rFonts w:hint="eastAsia"/>
        </w:rPr>
        <w:t>推广应用</w:t>
      </w:r>
    </w:p>
    <w:p w:rsidR="00E2537C" w:rsidRPr="007F5679" w:rsidRDefault="00076A37" w:rsidP="00BC79AE">
      <w:r>
        <w:rPr>
          <w:rFonts w:hint="eastAsia"/>
        </w:rPr>
        <w:t>本标准的制定进一步促进我国无机粉体装饰壁材</w:t>
      </w:r>
      <w:r w:rsidR="00E2537C" w:rsidRPr="007F5679">
        <w:rPr>
          <w:rFonts w:hint="eastAsia"/>
        </w:rPr>
        <w:t>在消费者真正关注的品质上的发展，促进</w:t>
      </w:r>
      <w:r>
        <w:rPr>
          <w:rFonts w:hint="eastAsia"/>
        </w:rPr>
        <w:t>市场产品在该性能上的提升，因此应积极推广和应用本标准，来推动涂覆材料</w:t>
      </w:r>
      <w:r w:rsidR="00E2537C" w:rsidRPr="007F5679">
        <w:rPr>
          <w:rFonts w:hint="eastAsia"/>
        </w:rPr>
        <w:t>技术的进步和规范</w:t>
      </w:r>
      <w:r w:rsidR="007F5679" w:rsidRPr="007F5679">
        <w:rPr>
          <w:rFonts w:hint="eastAsia"/>
        </w:rPr>
        <w:t>绿色</w:t>
      </w:r>
      <w:r w:rsidR="00E2537C" w:rsidRPr="007F5679">
        <w:rPr>
          <w:rFonts w:hint="eastAsia"/>
        </w:rPr>
        <w:t>产品市场。</w:t>
      </w:r>
    </w:p>
    <w:p w:rsidR="00E2537C" w:rsidRPr="007F5679" w:rsidRDefault="00E2537C" w:rsidP="00BC79AE">
      <w:r w:rsidRPr="007F5679">
        <w:rPr>
          <w:rFonts w:hint="eastAsia"/>
        </w:rPr>
        <w:t>3</w:t>
      </w:r>
      <w:r w:rsidR="007F5679">
        <w:rPr>
          <w:rFonts w:hint="eastAsia"/>
        </w:rPr>
        <w:t>、</w:t>
      </w:r>
      <w:r w:rsidRPr="007F5679">
        <w:rPr>
          <w:rFonts w:hint="eastAsia"/>
        </w:rPr>
        <w:t>预期达到的经济效果</w:t>
      </w:r>
    </w:p>
    <w:p w:rsidR="004B174B" w:rsidRPr="007F5679" w:rsidRDefault="00E2537C" w:rsidP="00BC79AE">
      <w:r w:rsidRPr="007F5679">
        <w:rPr>
          <w:rFonts w:hint="eastAsia"/>
        </w:rPr>
        <w:t>本标准能推动</w:t>
      </w:r>
      <w:r w:rsidR="00076A37">
        <w:rPr>
          <w:rFonts w:hint="eastAsia"/>
        </w:rPr>
        <w:t>涂装材料技术的进步和规范无机干粉类装饰壁材</w:t>
      </w:r>
      <w:r w:rsidRPr="007F5679">
        <w:rPr>
          <w:rFonts w:hint="eastAsia"/>
        </w:rPr>
        <w:t>产品市场，提高</w:t>
      </w:r>
      <w:r w:rsidR="00076A37">
        <w:rPr>
          <w:rFonts w:hint="eastAsia"/>
        </w:rPr>
        <w:t>我国无机装饰壁材</w:t>
      </w:r>
      <w:r w:rsidR="004B174B" w:rsidRPr="007F5679">
        <w:rPr>
          <w:rFonts w:hint="eastAsia"/>
        </w:rPr>
        <w:t>产品的国际竞争力</w:t>
      </w:r>
      <w:r w:rsidRPr="007F5679">
        <w:rPr>
          <w:rFonts w:hint="eastAsia"/>
        </w:rPr>
        <w:t>。</w:t>
      </w:r>
    </w:p>
    <w:p w:rsidR="004B174B" w:rsidRPr="007F5679" w:rsidRDefault="004B174B" w:rsidP="00BC79AE">
      <w:r w:rsidRPr="00D86709">
        <w:rPr>
          <w:rFonts w:hint="eastAsia"/>
        </w:rPr>
        <w:t>该标准颁布实施将作为国家质检总局、国家工商总局以及各地方质量监督部门组织监督抽查的依据，也将为</w:t>
      </w:r>
      <w:r w:rsidRPr="007F5679">
        <w:rPr>
          <w:rFonts w:hint="eastAsia"/>
        </w:rPr>
        <w:t>绿色</w:t>
      </w:r>
      <w:r w:rsidRPr="00D86709">
        <w:rPr>
          <w:rFonts w:hint="eastAsia"/>
        </w:rPr>
        <w:t>认证提供技术保障。</w:t>
      </w:r>
    </w:p>
    <w:p w:rsidR="004B174B" w:rsidRPr="007F5679" w:rsidRDefault="004B174B" w:rsidP="00BC79AE">
      <w:pPr>
        <w:rPr>
          <w:rFonts w:ascii="宋体" w:eastAsia="宋体" w:hAnsi="宋体"/>
        </w:rPr>
      </w:pPr>
      <w:r w:rsidRPr="00D86709">
        <w:rPr>
          <w:rFonts w:hint="eastAsia"/>
        </w:rPr>
        <w:t>该标准的发布产生的经济效益和社会效益是不</w:t>
      </w:r>
      <w:r w:rsidRPr="007F5679">
        <w:rPr>
          <w:rFonts w:ascii="宋体" w:eastAsia="宋体" w:hAnsi="宋体" w:hint="eastAsia"/>
        </w:rPr>
        <w:t>可估量的。</w:t>
      </w:r>
    </w:p>
    <w:p w:rsidR="004B174B" w:rsidRPr="007F5679" w:rsidRDefault="00E2537C" w:rsidP="00BC79AE">
      <w:r w:rsidRPr="007F5679">
        <w:t>（四）采用国际标准和国外先进标准</w:t>
      </w:r>
      <w:r w:rsidRPr="007F5679">
        <w:rPr>
          <w:rFonts w:hint="eastAsia"/>
        </w:rPr>
        <w:t>情况</w:t>
      </w:r>
    </w:p>
    <w:p w:rsidR="00E2537C" w:rsidRPr="007F5679" w:rsidRDefault="00E2537C" w:rsidP="00BC79AE">
      <w:r w:rsidRPr="007F5679">
        <w:rPr>
          <w:rFonts w:hint="eastAsia"/>
        </w:rPr>
        <w:t>本标准项目设置主要依据是</w:t>
      </w:r>
      <w:r w:rsidR="004B174B" w:rsidRPr="007F5679">
        <w:rPr>
          <w:rFonts w:hint="eastAsia"/>
        </w:rPr>
        <w:t xml:space="preserve">HJ 2537-2014  环境标志产品技术要求  </w:t>
      </w:r>
      <w:r w:rsidR="00076A37">
        <w:rPr>
          <w:rFonts w:hint="eastAsia"/>
        </w:rPr>
        <w:t>绿色产品评价 涂料</w:t>
      </w:r>
      <w:r w:rsidR="004B174B" w:rsidRPr="007F5679">
        <w:rPr>
          <w:rFonts w:hint="eastAsia"/>
        </w:rPr>
        <w:t xml:space="preserve">、 </w:t>
      </w:r>
      <w:r w:rsidR="004B174B" w:rsidRPr="007F5679">
        <w:t xml:space="preserve">Basic Criteria for Award of </w:t>
      </w:r>
      <w:r w:rsidR="004B174B" w:rsidRPr="007F5679">
        <w:rPr>
          <w:rFonts w:hint="eastAsia"/>
        </w:rPr>
        <w:t>T</w:t>
      </w:r>
      <w:r w:rsidR="004B174B" w:rsidRPr="007F5679">
        <w:t>he Blue Angel</w:t>
      </w:r>
      <w:r w:rsidR="004B174B" w:rsidRPr="007F5679">
        <w:rPr>
          <w:rFonts w:hint="eastAsia"/>
        </w:rPr>
        <w:t xml:space="preserve"> </w:t>
      </w:r>
      <w:r w:rsidR="004B174B" w:rsidRPr="007F5679">
        <w:t>Environmental Label</w:t>
      </w:r>
      <w:r w:rsidR="004B174B" w:rsidRPr="007F5679">
        <w:rPr>
          <w:rFonts w:hint="eastAsia"/>
        </w:rPr>
        <w:t xml:space="preserve"> RAL-UZ 12a Low-Emission and Low-Pollutant Paints and Varnishes（</w:t>
      </w:r>
      <w:r w:rsidR="004B174B" w:rsidRPr="007F5679">
        <w:t>Edition August 2011</w:t>
      </w:r>
      <w:r w:rsidR="004B174B" w:rsidRPr="007F5679">
        <w:rPr>
          <w:rFonts w:hint="eastAsia"/>
        </w:rPr>
        <w:t xml:space="preserve">）、 </w:t>
      </w:r>
      <w:r w:rsidR="004B174B" w:rsidRPr="007F5679">
        <w:t xml:space="preserve">Basic Criteria for Award of </w:t>
      </w:r>
      <w:r w:rsidR="004B174B" w:rsidRPr="007F5679">
        <w:rPr>
          <w:rFonts w:hint="eastAsia"/>
        </w:rPr>
        <w:t>T</w:t>
      </w:r>
      <w:r w:rsidR="004B174B" w:rsidRPr="007F5679">
        <w:t>he Blue Angel</w:t>
      </w:r>
      <w:r w:rsidR="004B174B" w:rsidRPr="007F5679">
        <w:rPr>
          <w:rFonts w:hint="eastAsia"/>
        </w:rPr>
        <w:t xml:space="preserve"> </w:t>
      </w:r>
      <w:r w:rsidR="004B174B" w:rsidRPr="007F5679">
        <w:t>Environmental Label</w:t>
      </w:r>
      <w:r w:rsidR="004B174B" w:rsidRPr="007F5679">
        <w:rPr>
          <w:rFonts w:hint="eastAsia"/>
        </w:rPr>
        <w:t xml:space="preserve"> RAL-UZ 102 Low-emission Wall Paints（</w:t>
      </w:r>
      <w:r w:rsidR="004B174B" w:rsidRPr="007F5679">
        <w:t>Edition January 2015</w:t>
      </w:r>
      <w:r w:rsidR="004B174B" w:rsidRPr="007F5679">
        <w:rPr>
          <w:rFonts w:hint="eastAsia"/>
        </w:rPr>
        <w:t>）、 EU</w:t>
      </w:r>
      <w:r w:rsidR="004B174B" w:rsidRPr="007F5679">
        <w:t xml:space="preserve"> C</w:t>
      </w:r>
      <w:r w:rsidR="004B174B" w:rsidRPr="007F5679">
        <w:rPr>
          <w:rFonts w:hint="eastAsia"/>
        </w:rPr>
        <w:t>ommission</w:t>
      </w:r>
      <w:r w:rsidR="004B174B" w:rsidRPr="007F5679">
        <w:t xml:space="preserve"> D</w:t>
      </w:r>
      <w:r w:rsidR="004B174B" w:rsidRPr="007F5679">
        <w:rPr>
          <w:rFonts w:hint="eastAsia"/>
        </w:rPr>
        <w:t xml:space="preserve">ecision Establishing the ecological criteria for the award of the EU </w:t>
      </w:r>
      <w:proofErr w:type="spellStart"/>
      <w:r w:rsidR="004B174B" w:rsidRPr="007F5679">
        <w:rPr>
          <w:rFonts w:hint="eastAsia"/>
        </w:rPr>
        <w:t>Ecolabel</w:t>
      </w:r>
      <w:proofErr w:type="spellEnd"/>
      <w:r w:rsidR="004B174B" w:rsidRPr="007F5679">
        <w:rPr>
          <w:rFonts w:hint="eastAsia"/>
        </w:rPr>
        <w:t xml:space="preserve"> for indoor and outdoor paints and varnishes （2014/312/EU）、 </w:t>
      </w:r>
      <w:r w:rsidR="004B174B" w:rsidRPr="007F5679">
        <w:t>Good Environmental Choice Australia</w:t>
      </w:r>
      <w:r w:rsidR="004B174B" w:rsidRPr="007F5679">
        <w:rPr>
          <w:rFonts w:hint="eastAsia"/>
        </w:rPr>
        <w:t xml:space="preserve"> </w:t>
      </w:r>
      <w:r w:rsidR="004B174B" w:rsidRPr="007F5679">
        <w:t>Environmental Performance Standard</w:t>
      </w:r>
      <w:r w:rsidR="004B174B" w:rsidRPr="007F5679">
        <w:rPr>
          <w:rFonts w:hint="eastAsia"/>
        </w:rPr>
        <w:t xml:space="preserve"> </w:t>
      </w:r>
      <w:bookmarkStart w:id="1" w:name="OLE_LINK5"/>
      <w:bookmarkStart w:id="2" w:name="OLE_LINK6"/>
      <w:r w:rsidR="004B174B" w:rsidRPr="007F5679">
        <w:rPr>
          <w:rFonts w:hint="eastAsia"/>
        </w:rPr>
        <w:t>Paints</w:t>
      </w:r>
      <w:bookmarkEnd w:id="1"/>
      <w:bookmarkEnd w:id="2"/>
      <w:r w:rsidR="004B174B" w:rsidRPr="007F5679">
        <w:rPr>
          <w:rFonts w:hint="eastAsia"/>
        </w:rPr>
        <w:t xml:space="preserve"> and Coatings （PCv2.2ii-2012）、GS-11 </w:t>
      </w:r>
      <w:r w:rsidR="004B174B" w:rsidRPr="007F5679">
        <w:t>G</w:t>
      </w:r>
      <w:r w:rsidR="004B174B" w:rsidRPr="007F5679">
        <w:rPr>
          <w:rFonts w:hint="eastAsia"/>
        </w:rPr>
        <w:t>reen</w:t>
      </w:r>
      <w:r w:rsidR="004B174B" w:rsidRPr="007F5679">
        <w:t xml:space="preserve"> S</w:t>
      </w:r>
      <w:r w:rsidR="004B174B" w:rsidRPr="007F5679">
        <w:rPr>
          <w:rFonts w:hint="eastAsia"/>
        </w:rPr>
        <w:t>eal</w:t>
      </w:r>
      <w:r w:rsidR="004B174B" w:rsidRPr="007F5679">
        <w:t xml:space="preserve"> Standard F</w:t>
      </w:r>
      <w:r w:rsidR="004B174B" w:rsidRPr="007F5679">
        <w:rPr>
          <w:rFonts w:hint="eastAsia"/>
        </w:rPr>
        <w:t>or Paints Coatings Stains and Sealers（</w:t>
      </w:r>
      <w:r w:rsidR="004B174B" w:rsidRPr="007F5679">
        <w:t xml:space="preserve"> E</w:t>
      </w:r>
      <w:r w:rsidR="004B174B" w:rsidRPr="007F5679">
        <w:rPr>
          <w:rFonts w:hint="eastAsia"/>
        </w:rPr>
        <w:t>dition</w:t>
      </w:r>
      <w:r w:rsidR="004B174B" w:rsidRPr="007F5679">
        <w:t xml:space="preserve"> 3.2</w:t>
      </w:r>
      <w:r w:rsidR="004B174B" w:rsidRPr="007F5679">
        <w:rPr>
          <w:rFonts w:hint="eastAsia"/>
        </w:rPr>
        <w:t xml:space="preserve">）、 Hong Kong Green Label Scheme Product Environmental Criteria for Paint （GL-008-010）、 </w:t>
      </w:r>
      <w:r w:rsidR="004B174B" w:rsidRPr="007F5679">
        <w:t>IKEA</w:t>
      </w:r>
      <w:r w:rsidR="004B174B" w:rsidRPr="007F5679">
        <w:rPr>
          <w:rFonts w:hint="eastAsia"/>
        </w:rPr>
        <w:t xml:space="preserve"> of Sweden AB  </w:t>
      </w:r>
      <w:r w:rsidR="004B174B" w:rsidRPr="007F5679">
        <w:t>IOS-MAT-0066</w:t>
      </w:r>
      <w:r w:rsidR="004B174B" w:rsidRPr="007F5679">
        <w:rPr>
          <w:rFonts w:hint="eastAsia"/>
        </w:rPr>
        <w:t xml:space="preserve"> </w:t>
      </w:r>
      <w:r w:rsidR="004B174B" w:rsidRPr="007F5679">
        <w:t>Surface coatings and coverings</w:t>
      </w:r>
      <w:r w:rsidR="004B174B" w:rsidRPr="007F5679">
        <w:rPr>
          <w:rFonts w:hint="eastAsia"/>
        </w:rPr>
        <w:t>-</w:t>
      </w:r>
      <w:r w:rsidR="004B174B" w:rsidRPr="007F5679">
        <w:t>general requirements</w:t>
      </w:r>
      <w:r w:rsidR="004B174B" w:rsidRPr="007F5679">
        <w:rPr>
          <w:rFonts w:hint="eastAsia"/>
        </w:rPr>
        <w:t xml:space="preserve"> （</w:t>
      </w:r>
      <w:r w:rsidR="004B174B" w:rsidRPr="007F5679">
        <w:t>Version</w:t>
      </w:r>
      <w:r w:rsidR="004B174B" w:rsidRPr="007F5679">
        <w:rPr>
          <w:rFonts w:hint="eastAsia"/>
        </w:rPr>
        <w:t xml:space="preserve"> </w:t>
      </w:r>
      <w:r w:rsidR="004B174B" w:rsidRPr="007F5679">
        <w:t>AA-163938-10</w:t>
      </w:r>
      <w:r w:rsidR="004B174B" w:rsidRPr="007F5679">
        <w:rPr>
          <w:rFonts w:hint="eastAsia"/>
        </w:rPr>
        <w:t>）、Japan Eco-mark Product Category No.126 “Paints”（</w:t>
      </w:r>
      <w:r w:rsidR="004B174B" w:rsidRPr="007F5679">
        <w:t xml:space="preserve">Version </w:t>
      </w:r>
      <w:r w:rsidR="004B174B" w:rsidRPr="007F5679">
        <w:rPr>
          <w:rFonts w:hint="eastAsia"/>
        </w:rPr>
        <w:t>1.3）、</w:t>
      </w:r>
      <w:r w:rsidR="004B174B" w:rsidRPr="007F5679">
        <w:t xml:space="preserve">Korea Eco-label </w:t>
      </w:r>
      <w:bookmarkStart w:id="3" w:name="OLE_LINK9"/>
      <w:bookmarkStart w:id="4" w:name="OLE_LINK10"/>
      <w:r w:rsidR="004B174B" w:rsidRPr="007F5679">
        <w:t>Standard</w:t>
      </w:r>
      <w:bookmarkEnd w:id="3"/>
      <w:bookmarkEnd w:id="4"/>
      <w:r w:rsidR="004B174B" w:rsidRPr="007F5679">
        <w:t>s</w:t>
      </w:r>
      <w:r w:rsidR="004B174B" w:rsidRPr="007F5679">
        <w:rPr>
          <w:rFonts w:hint="eastAsia"/>
        </w:rPr>
        <w:t xml:space="preserve"> EL241:2014 Paints、</w:t>
      </w:r>
      <w:r w:rsidR="004B174B" w:rsidRPr="007F5679">
        <w:t xml:space="preserve">Nordic </w:t>
      </w:r>
      <w:proofErr w:type="spellStart"/>
      <w:r w:rsidR="004B174B" w:rsidRPr="007F5679">
        <w:t>Ecol</w:t>
      </w:r>
      <w:r w:rsidR="004B174B" w:rsidRPr="007F5679">
        <w:rPr>
          <w:rFonts w:hint="eastAsia"/>
        </w:rPr>
        <w:t>abelling</w:t>
      </w:r>
      <w:proofErr w:type="spellEnd"/>
      <w:r w:rsidR="004B174B" w:rsidRPr="007F5679">
        <w:rPr>
          <w:rFonts w:hint="eastAsia"/>
        </w:rPr>
        <w:t xml:space="preserve"> of</w:t>
      </w:r>
      <w:r w:rsidR="004B174B" w:rsidRPr="007F5679">
        <w:t xml:space="preserve"> Chemical building product</w:t>
      </w:r>
      <w:r w:rsidR="004B174B" w:rsidRPr="007F5679">
        <w:rPr>
          <w:rFonts w:hint="eastAsia"/>
        </w:rPr>
        <w:t xml:space="preserve">s </w:t>
      </w:r>
      <w:r w:rsidR="004B174B" w:rsidRPr="007F5679">
        <w:rPr>
          <w:rFonts w:hint="eastAsia"/>
        </w:rPr>
        <w:lastRenderedPageBreak/>
        <w:t>（</w:t>
      </w:r>
      <w:r w:rsidR="004B174B" w:rsidRPr="007F5679">
        <w:t>Version 2.7</w:t>
      </w:r>
      <w:r w:rsidR="004B174B" w:rsidRPr="007F5679">
        <w:rPr>
          <w:rFonts w:hint="eastAsia"/>
        </w:rPr>
        <w:t>）、</w:t>
      </w:r>
      <w:r w:rsidR="004B174B" w:rsidRPr="007F5679">
        <w:t xml:space="preserve">Nordic </w:t>
      </w:r>
      <w:proofErr w:type="spellStart"/>
      <w:r w:rsidR="004B174B" w:rsidRPr="007F5679">
        <w:t>Ecol</w:t>
      </w:r>
      <w:r w:rsidR="004B174B" w:rsidRPr="007F5679">
        <w:rPr>
          <w:rFonts w:hint="eastAsia"/>
        </w:rPr>
        <w:t>abelling</w:t>
      </w:r>
      <w:proofErr w:type="spellEnd"/>
      <w:r w:rsidR="004B174B" w:rsidRPr="007F5679">
        <w:rPr>
          <w:rFonts w:hint="eastAsia"/>
        </w:rPr>
        <w:t xml:space="preserve"> of</w:t>
      </w:r>
      <w:r w:rsidR="004B174B" w:rsidRPr="007F5679">
        <w:t xml:space="preserve"> Indoor paints and varnishes </w:t>
      </w:r>
      <w:r w:rsidR="004B174B" w:rsidRPr="007F5679">
        <w:rPr>
          <w:rFonts w:hint="eastAsia"/>
        </w:rPr>
        <w:t>（</w:t>
      </w:r>
      <w:r w:rsidR="004B174B" w:rsidRPr="007F5679">
        <w:t xml:space="preserve">Version </w:t>
      </w:r>
      <w:r w:rsidR="004B174B" w:rsidRPr="007F5679">
        <w:rPr>
          <w:rFonts w:hint="eastAsia"/>
        </w:rPr>
        <w:t>3</w:t>
      </w:r>
      <w:r w:rsidR="004B174B" w:rsidRPr="007F5679">
        <w:t>.</w:t>
      </w:r>
      <w:r w:rsidR="004B174B" w:rsidRPr="007F5679">
        <w:rPr>
          <w:rFonts w:hint="eastAsia"/>
        </w:rPr>
        <w:t>1）</w:t>
      </w:r>
      <w:r w:rsidR="00C034AC">
        <w:rPr>
          <w:rFonts w:hint="eastAsia"/>
        </w:rPr>
        <w:t>等相关项目设置要求</w:t>
      </w:r>
      <w:r w:rsidRPr="007F5679">
        <w:rPr>
          <w:rFonts w:hint="eastAsia"/>
        </w:rPr>
        <w:t>。</w:t>
      </w:r>
    </w:p>
    <w:p w:rsidR="004B174B" w:rsidRPr="007F5679" w:rsidRDefault="004B174B" w:rsidP="00BC79AE">
      <w:r w:rsidRPr="007F5679">
        <w:rPr>
          <w:rFonts w:hint="eastAsia"/>
        </w:rPr>
        <w:t>本标准参考了国内外先进的涂料产品</w:t>
      </w:r>
      <w:r w:rsidR="005136E3">
        <w:rPr>
          <w:rFonts w:hint="eastAsia"/>
        </w:rPr>
        <w:t>以及装饰壁材产品的</w:t>
      </w:r>
      <w:r w:rsidRPr="007F5679">
        <w:rPr>
          <w:rFonts w:hint="eastAsia"/>
        </w:rPr>
        <w:t>标准，采用了国内或国外普遍采用的试验方法，因此标准整体水平达国际先进水平。</w:t>
      </w:r>
    </w:p>
    <w:p w:rsidR="007F5679" w:rsidRPr="007F5679" w:rsidRDefault="00E2537C" w:rsidP="00BC79AE">
      <w:r w:rsidRPr="007F5679">
        <w:t>（五）</w:t>
      </w:r>
      <w:r w:rsidRPr="007F5679">
        <w:rPr>
          <w:rFonts w:hint="eastAsia"/>
        </w:rPr>
        <w:t>与现行相关法律、法规、规章及相关标准的协调性</w:t>
      </w:r>
    </w:p>
    <w:p w:rsidR="004B174B" w:rsidRPr="007F5679" w:rsidRDefault="004B174B" w:rsidP="00BC79AE">
      <w:r w:rsidRPr="007F5679">
        <w:rPr>
          <w:rFonts w:hint="eastAsia"/>
        </w:rPr>
        <w:t>本标准符合现行法律、法规和规章的要求，与其它相关标准之间不存在矛盾之处。本次标准的制定会进一步推动</w:t>
      </w:r>
      <w:r w:rsidR="005136E3">
        <w:rPr>
          <w:rFonts w:hint="eastAsia"/>
        </w:rPr>
        <w:t>无机干粉类装饰壁材行业的技术进步和倒逼</w:t>
      </w:r>
      <w:r w:rsidRPr="007F5679">
        <w:rPr>
          <w:rFonts w:hint="eastAsia"/>
        </w:rPr>
        <w:t>行业转型升级。</w:t>
      </w:r>
    </w:p>
    <w:p w:rsidR="00E2537C" w:rsidRPr="007F5679" w:rsidRDefault="00E2537C" w:rsidP="00BC79AE">
      <w:r w:rsidRPr="007F5679">
        <w:t>（六）重大分歧意见的处理经过和依据</w:t>
      </w:r>
    </w:p>
    <w:p w:rsidR="00E2537C" w:rsidRPr="007F5679" w:rsidRDefault="00E2537C" w:rsidP="00BC79AE">
      <w:r w:rsidRPr="007F5679">
        <w:rPr>
          <w:rFonts w:hint="eastAsia"/>
        </w:rPr>
        <w:t xml:space="preserve">      无。</w:t>
      </w:r>
    </w:p>
    <w:p w:rsidR="00E2537C" w:rsidRPr="007F5679" w:rsidRDefault="00E2537C" w:rsidP="00BC79AE">
      <w:r w:rsidRPr="007F5679">
        <w:t>（七）</w:t>
      </w:r>
      <w:r w:rsidRPr="007F5679">
        <w:rPr>
          <w:rFonts w:hint="eastAsia"/>
        </w:rPr>
        <w:t>标准性质的建议说明</w:t>
      </w:r>
    </w:p>
    <w:p w:rsidR="00E2537C" w:rsidRPr="007F5679" w:rsidRDefault="00E2537C" w:rsidP="00BC79AE">
      <w:r w:rsidRPr="007F5679">
        <w:rPr>
          <w:rFonts w:hint="eastAsia"/>
        </w:rPr>
        <w:t>本标准为推荐性标准。</w:t>
      </w:r>
    </w:p>
    <w:p w:rsidR="00E2537C" w:rsidRPr="007F5679" w:rsidRDefault="00E2537C" w:rsidP="00BC79AE">
      <w:r w:rsidRPr="007F5679">
        <w:t>（八）</w:t>
      </w:r>
      <w:r w:rsidRPr="007F5679">
        <w:rPr>
          <w:rFonts w:hint="eastAsia"/>
        </w:rPr>
        <w:t>贯彻标准的要求和措施建议</w:t>
      </w:r>
    </w:p>
    <w:p w:rsidR="004B174B" w:rsidRDefault="004B174B" w:rsidP="00BC79AE">
      <w:r w:rsidRPr="007F5679">
        <w:rPr>
          <w:rFonts w:hint="eastAsia"/>
        </w:rPr>
        <w:t>本次标准的制定会进一步推动</w:t>
      </w:r>
      <w:r w:rsidR="005136E3">
        <w:rPr>
          <w:rFonts w:hint="eastAsia"/>
        </w:rPr>
        <w:t>无机干粉类装饰壁材</w:t>
      </w:r>
      <w:r w:rsidRPr="007F5679">
        <w:rPr>
          <w:rFonts w:hint="eastAsia"/>
        </w:rPr>
        <w:t>的技术进步和和倒逼</w:t>
      </w:r>
      <w:r w:rsidR="005136E3">
        <w:rPr>
          <w:rFonts w:hint="eastAsia"/>
        </w:rPr>
        <w:t>无机干粉类装饰壁材</w:t>
      </w:r>
      <w:r w:rsidRPr="007F5679">
        <w:rPr>
          <w:rFonts w:hint="eastAsia"/>
        </w:rPr>
        <w:t>行业转型升级，可供各检验机构、</w:t>
      </w:r>
      <w:r w:rsidR="005136E3">
        <w:rPr>
          <w:rFonts w:hint="eastAsia"/>
        </w:rPr>
        <w:t>装饰壁材</w:t>
      </w:r>
      <w:r w:rsidRPr="007F5679">
        <w:rPr>
          <w:rFonts w:hint="eastAsia"/>
        </w:rPr>
        <w:t>用户和生产厂家参考和使用。因此对于本标准应积极推广和应用，真正发挥标准的功能和应用价值，规范绿色</w:t>
      </w:r>
      <w:r w:rsidR="005136E3">
        <w:rPr>
          <w:rFonts w:hint="eastAsia"/>
        </w:rPr>
        <w:t>涂装材料</w:t>
      </w:r>
      <w:r w:rsidRPr="007F5679">
        <w:rPr>
          <w:rFonts w:hint="eastAsia"/>
        </w:rPr>
        <w:t>产品的市场。</w:t>
      </w:r>
    </w:p>
    <w:p w:rsidR="007F5679" w:rsidRDefault="00E2537C" w:rsidP="00BC79AE">
      <w:r w:rsidRPr="007F5679">
        <w:t>（九）废止现行有关标准的建议</w:t>
      </w:r>
    </w:p>
    <w:p w:rsidR="00CA3530" w:rsidRPr="007F5679" w:rsidRDefault="00CA3530" w:rsidP="00BC79AE">
      <w:r w:rsidRPr="007F5679">
        <w:rPr>
          <w:rFonts w:hint="eastAsia"/>
        </w:rPr>
        <w:t>本标准是新制定的</w:t>
      </w:r>
      <w:r w:rsidR="0094748A">
        <w:rPr>
          <w:rFonts w:hint="eastAsia"/>
        </w:rPr>
        <w:t>推荐性</w:t>
      </w:r>
      <w:r w:rsidRPr="007F5679">
        <w:rPr>
          <w:rFonts w:hint="eastAsia"/>
        </w:rPr>
        <w:t>标准，所以不涉及废止现行相关标准的建议。</w:t>
      </w:r>
    </w:p>
    <w:p w:rsidR="00E2537C" w:rsidRPr="007F5679" w:rsidRDefault="00E2537C" w:rsidP="00BC79AE">
      <w:r w:rsidRPr="007F5679">
        <w:t>（十）其他应予说明的事项</w:t>
      </w:r>
    </w:p>
    <w:p w:rsidR="00E2537C" w:rsidRDefault="00E2537C" w:rsidP="00BC79AE">
      <w:r w:rsidRPr="007F5679">
        <w:rPr>
          <w:rFonts w:hint="eastAsia"/>
        </w:rPr>
        <w:t xml:space="preserve">   </w:t>
      </w:r>
      <w:r w:rsidR="007F5679">
        <w:rPr>
          <w:rFonts w:hint="eastAsia"/>
        </w:rPr>
        <w:t xml:space="preserve"> </w:t>
      </w:r>
      <w:r w:rsidRPr="007F5679">
        <w:rPr>
          <w:rFonts w:hint="eastAsia"/>
        </w:rPr>
        <w:t xml:space="preserve"> </w:t>
      </w:r>
      <w:r w:rsidR="004B174B" w:rsidRPr="007F5679">
        <w:rPr>
          <w:rFonts w:hint="eastAsia"/>
        </w:rPr>
        <w:t>暂</w:t>
      </w:r>
      <w:r w:rsidRPr="007F5679">
        <w:rPr>
          <w:rFonts w:hint="eastAsia"/>
        </w:rPr>
        <w:t>无。</w:t>
      </w:r>
    </w:p>
    <w:p w:rsidR="00BF2C56" w:rsidRDefault="00BF2C56" w:rsidP="00BF2C56">
      <w:pPr>
        <w:ind w:firstLineChars="0" w:firstLine="0"/>
      </w:pPr>
      <w:r>
        <w:rPr>
          <w:rFonts w:hint="eastAsia"/>
        </w:rPr>
        <w:t>参考文献</w:t>
      </w:r>
    </w:p>
    <w:p w:rsidR="00112D5F" w:rsidRPr="000C4200" w:rsidRDefault="00112D5F" w:rsidP="00112D5F">
      <w:pPr>
        <w:rPr>
          <w:rFonts w:ascii="宋体" w:hAnsi="宋体"/>
          <w:szCs w:val="21"/>
        </w:rPr>
      </w:pPr>
      <w:r w:rsidRPr="000C4200">
        <w:rPr>
          <w:rFonts w:ascii="宋体" w:hAnsi="宋体" w:hint="eastAsia"/>
          <w:szCs w:val="21"/>
        </w:rPr>
        <w:t>GB/T 2589 综合能耗计算通则</w:t>
      </w:r>
    </w:p>
    <w:p w:rsidR="00112D5F" w:rsidRDefault="00112D5F" w:rsidP="00112D5F">
      <w:pPr>
        <w:rPr>
          <w:rFonts w:ascii="宋体" w:hAnsi="宋体"/>
          <w:szCs w:val="21"/>
        </w:rPr>
      </w:pPr>
      <w:r w:rsidRPr="000C4200">
        <w:rPr>
          <w:rFonts w:ascii="宋体" w:hAnsi="宋体" w:hint="eastAsia"/>
          <w:szCs w:val="21"/>
        </w:rPr>
        <w:t>GB 6566 建筑材料放射性核素限量</w:t>
      </w:r>
    </w:p>
    <w:p w:rsidR="00112D5F" w:rsidRPr="000C4200" w:rsidRDefault="00112D5F" w:rsidP="00112D5F">
      <w:pPr>
        <w:rPr>
          <w:rFonts w:ascii="宋体" w:hAnsi="宋体"/>
          <w:szCs w:val="21"/>
        </w:rPr>
      </w:pPr>
      <w:r>
        <w:rPr>
          <w:rFonts w:ascii="宋体" w:hAnsi="宋体" w:hint="eastAsia"/>
          <w:szCs w:val="21"/>
        </w:rPr>
        <w:t>GB 12348 工业企业厂界环境噪声排放标准</w:t>
      </w:r>
    </w:p>
    <w:p w:rsidR="00112D5F" w:rsidRDefault="00112D5F" w:rsidP="00112D5F">
      <w:pPr>
        <w:rPr>
          <w:rFonts w:ascii="宋体" w:hAnsi="宋体"/>
          <w:szCs w:val="21"/>
        </w:rPr>
      </w:pPr>
      <w:r w:rsidRPr="000C4200">
        <w:rPr>
          <w:rFonts w:ascii="宋体" w:hAnsi="宋体" w:hint="eastAsia"/>
          <w:szCs w:val="21"/>
        </w:rPr>
        <w:t>GB 13491 涂料产品包装通则</w:t>
      </w:r>
    </w:p>
    <w:p w:rsidR="00112D5F" w:rsidRDefault="00112D5F" w:rsidP="00112D5F">
      <w:pPr>
        <w:rPr>
          <w:rFonts w:ascii="宋体" w:hAnsi="宋体"/>
          <w:szCs w:val="21"/>
        </w:rPr>
      </w:pPr>
      <w:r>
        <w:rPr>
          <w:rFonts w:ascii="宋体" w:hAnsi="宋体" w:hint="eastAsia"/>
          <w:szCs w:val="21"/>
        </w:rPr>
        <w:t>GB 15258 化学品安全标签编写规定</w:t>
      </w:r>
    </w:p>
    <w:p w:rsidR="00112D5F" w:rsidRDefault="00112D5F" w:rsidP="00112D5F">
      <w:pPr>
        <w:rPr>
          <w:rFonts w:ascii="宋体" w:hAnsi="宋体"/>
          <w:szCs w:val="21"/>
        </w:rPr>
      </w:pPr>
      <w:r>
        <w:rPr>
          <w:rFonts w:ascii="宋体" w:hAnsi="宋体" w:hint="eastAsia"/>
          <w:szCs w:val="21"/>
        </w:rPr>
        <w:t>GB/T 16157-1996/XG1-2017 固定污染源排气中颗粒物测定与气态污染物采</w:t>
      </w:r>
      <w:r>
        <w:rPr>
          <w:rFonts w:ascii="宋体" w:hAnsi="宋体" w:hint="eastAsia"/>
          <w:szCs w:val="21"/>
        </w:rPr>
        <w:lastRenderedPageBreak/>
        <w:t>样方法行业标准第1号修改单</w:t>
      </w:r>
    </w:p>
    <w:p w:rsidR="00112D5F" w:rsidRPr="000C4200" w:rsidRDefault="00112D5F" w:rsidP="00112D5F">
      <w:pPr>
        <w:rPr>
          <w:rFonts w:ascii="宋体" w:hAnsi="宋体"/>
          <w:szCs w:val="21"/>
        </w:rPr>
      </w:pPr>
      <w:r w:rsidRPr="000C4200">
        <w:rPr>
          <w:rFonts w:ascii="宋体" w:hAnsi="宋体" w:hint="eastAsia"/>
          <w:szCs w:val="21"/>
        </w:rPr>
        <w:t>GB/T 16483 化学品安全标签编写规定</w:t>
      </w:r>
    </w:p>
    <w:p w:rsidR="00112D5F" w:rsidRDefault="00112D5F" w:rsidP="00112D5F">
      <w:pPr>
        <w:rPr>
          <w:rFonts w:ascii="宋体" w:hAnsi="宋体"/>
          <w:szCs w:val="21"/>
        </w:rPr>
      </w:pPr>
      <w:r w:rsidRPr="000C4200">
        <w:rPr>
          <w:rFonts w:ascii="宋体" w:hAnsi="宋体" w:hint="eastAsia"/>
          <w:szCs w:val="21"/>
        </w:rPr>
        <w:t>GB/T 16716.1 包装与包装废弃物 第1部分：处理和利用通则</w:t>
      </w:r>
    </w:p>
    <w:p w:rsidR="00112D5F" w:rsidRDefault="00112D5F" w:rsidP="00112D5F">
      <w:pPr>
        <w:rPr>
          <w:rFonts w:ascii="宋体" w:hAnsi="宋体"/>
          <w:szCs w:val="21"/>
        </w:rPr>
      </w:pPr>
      <w:r>
        <w:rPr>
          <w:rFonts w:ascii="宋体" w:hAnsi="宋体" w:hint="eastAsia"/>
          <w:szCs w:val="21"/>
        </w:rPr>
        <w:t>GB 18204.2-2014</w:t>
      </w:r>
      <w:r w:rsidRPr="006115C1">
        <w:rPr>
          <w:rFonts w:ascii="宋体" w:hAnsi="宋体" w:hint="eastAsia"/>
          <w:szCs w:val="21"/>
        </w:rPr>
        <w:t>公共场所卫生检验方法 第2部分：化学污染物</w:t>
      </w:r>
    </w:p>
    <w:p w:rsidR="00112D5F" w:rsidRPr="000C4200" w:rsidRDefault="00112D5F" w:rsidP="00112D5F">
      <w:pPr>
        <w:rPr>
          <w:rFonts w:ascii="宋体" w:hAnsi="宋体"/>
          <w:szCs w:val="21"/>
        </w:rPr>
      </w:pPr>
      <w:r>
        <w:rPr>
          <w:rFonts w:ascii="宋体" w:hAnsi="宋体" w:hint="eastAsia"/>
          <w:szCs w:val="21"/>
        </w:rPr>
        <w:t>GB 18582-2008</w:t>
      </w:r>
      <w:r w:rsidRPr="006E4D86">
        <w:rPr>
          <w:rFonts w:ascii="宋体" w:hAnsi="宋体" w:hint="eastAsia"/>
          <w:szCs w:val="21"/>
        </w:rPr>
        <w:t>室内装饰装修材料 内墙涂料中有害物质限量</w:t>
      </w:r>
    </w:p>
    <w:p w:rsidR="00112D5F" w:rsidRPr="000C4200" w:rsidRDefault="00112D5F" w:rsidP="00112D5F">
      <w:pPr>
        <w:rPr>
          <w:rFonts w:ascii="宋体" w:hAnsi="宋体"/>
          <w:szCs w:val="21"/>
        </w:rPr>
      </w:pPr>
      <w:r w:rsidRPr="000C4200">
        <w:rPr>
          <w:rFonts w:ascii="宋体" w:hAnsi="宋体" w:hint="eastAsia"/>
          <w:szCs w:val="21"/>
        </w:rPr>
        <w:t>GB</w:t>
      </w:r>
      <w:r>
        <w:rPr>
          <w:rFonts w:ascii="宋体" w:hAnsi="宋体" w:hint="eastAsia"/>
          <w:szCs w:val="21"/>
        </w:rPr>
        <w:t xml:space="preserve"> </w:t>
      </w:r>
      <w:r w:rsidRPr="000C4200">
        <w:rPr>
          <w:rFonts w:ascii="宋体" w:hAnsi="宋体" w:hint="eastAsia"/>
          <w:szCs w:val="21"/>
        </w:rPr>
        <w:t>18597 危险废物贮存污染控制标准</w:t>
      </w:r>
    </w:p>
    <w:p w:rsidR="00112D5F" w:rsidRPr="000C4200" w:rsidRDefault="00112D5F" w:rsidP="00112D5F">
      <w:pPr>
        <w:rPr>
          <w:rFonts w:ascii="宋体" w:hAnsi="宋体"/>
          <w:szCs w:val="21"/>
        </w:rPr>
      </w:pPr>
      <w:r w:rsidRPr="000C4200">
        <w:rPr>
          <w:rFonts w:ascii="宋体" w:hAnsi="宋体" w:hint="eastAsia"/>
          <w:szCs w:val="21"/>
        </w:rPr>
        <w:t>GB 18599 一般工业固体废弃物贮存、处置场污染控制标准</w:t>
      </w:r>
    </w:p>
    <w:p w:rsidR="00112D5F" w:rsidRDefault="00112D5F" w:rsidP="00112D5F">
      <w:pPr>
        <w:rPr>
          <w:rFonts w:ascii="宋体" w:hAnsi="宋体"/>
          <w:szCs w:val="21"/>
        </w:rPr>
      </w:pPr>
      <w:r w:rsidRPr="000C4200">
        <w:rPr>
          <w:rFonts w:ascii="宋体" w:hAnsi="宋体" w:hint="eastAsia"/>
          <w:szCs w:val="21"/>
        </w:rPr>
        <w:t>GB/T 19001 质量管理体系 要求</w:t>
      </w:r>
    </w:p>
    <w:p w:rsidR="00112D5F" w:rsidRPr="000C4200" w:rsidRDefault="00112D5F" w:rsidP="00112D5F">
      <w:pPr>
        <w:rPr>
          <w:rFonts w:ascii="宋体" w:hAnsi="宋体"/>
          <w:szCs w:val="21"/>
        </w:rPr>
      </w:pPr>
      <w:r w:rsidRPr="000C4200">
        <w:rPr>
          <w:rFonts w:ascii="宋体" w:hAnsi="宋体" w:hint="eastAsia"/>
          <w:szCs w:val="21"/>
        </w:rPr>
        <w:t>GB/T 239</w:t>
      </w:r>
      <w:r>
        <w:rPr>
          <w:rFonts w:ascii="宋体" w:hAnsi="宋体" w:hint="eastAsia"/>
          <w:szCs w:val="21"/>
        </w:rPr>
        <w:t>85</w:t>
      </w:r>
      <w:r w:rsidRPr="000C4200">
        <w:rPr>
          <w:rFonts w:ascii="宋体" w:hAnsi="宋体" w:hint="eastAsia"/>
          <w:szCs w:val="21"/>
        </w:rPr>
        <w:t>-2009</w:t>
      </w:r>
      <w:r w:rsidRPr="00202546">
        <w:rPr>
          <w:rFonts w:ascii="宋体" w:hAnsi="宋体" w:hint="eastAsia"/>
          <w:szCs w:val="21"/>
        </w:rPr>
        <w:t>色漆和清漆 挥发性有机化合物(VOC)含量的测定 差值法</w:t>
      </w:r>
    </w:p>
    <w:p w:rsidR="00112D5F" w:rsidRDefault="00112D5F" w:rsidP="00112D5F">
      <w:pPr>
        <w:rPr>
          <w:rFonts w:ascii="宋体" w:hAnsi="宋体"/>
          <w:szCs w:val="21"/>
        </w:rPr>
      </w:pPr>
      <w:r w:rsidRPr="000C4200">
        <w:rPr>
          <w:rFonts w:ascii="宋体" w:hAnsi="宋体" w:hint="eastAsia"/>
          <w:szCs w:val="21"/>
        </w:rPr>
        <w:t>GB/T 23990-2009 涂料中苯、甲苯、乙苯和二甲苯含量的测定 气相色谱法</w:t>
      </w:r>
    </w:p>
    <w:p w:rsidR="00112D5F" w:rsidRDefault="00112D5F" w:rsidP="00112D5F">
      <w:pPr>
        <w:rPr>
          <w:rFonts w:ascii="宋体" w:hAnsi="宋体"/>
          <w:szCs w:val="21"/>
        </w:rPr>
      </w:pPr>
      <w:r w:rsidRPr="000C4200">
        <w:rPr>
          <w:rFonts w:ascii="宋体" w:hAnsi="宋体" w:hint="eastAsia"/>
          <w:szCs w:val="21"/>
        </w:rPr>
        <w:t>GB/T 2399</w:t>
      </w:r>
      <w:r>
        <w:rPr>
          <w:rFonts w:ascii="宋体" w:hAnsi="宋体" w:hint="eastAsia"/>
          <w:szCs w:val="21"/>
        </w:rPr>
        <w:t>3</w:t>
      </w:r>
      <w:r w:rsidRPr="000C4200">
        <w:rPr>
          <w:rFonts w:ascii="宋体" w:hAnsi="宋体" w:hint="eastAsia"/>
          <w:szCs w:val="21"/>
        </w:rPr>
        <w:t>-2009</w:t>
      </w:r>
      <w:r w:rsidRPr="00202546">
        <w:rPr>
          <w:rFonts w:ascii="宋体" w:hAnsi="宋体" w:hint="eastAsia"/>
          <w:szCs w:val="21"/>
        </w:rPr>
        <w:t>水性涂料中甲醛含量的测定 乙酰丙酮分光光度法</w:t>
      </w:r>
    </w:p>
    <w:p w:rsidR="00112D5F" w:rsidRPr="000C4200" w:rsidRDefault="00112D5F" w:rsidP="00112D5F">
      <w:pPr>
        <w:rPr>
          <w:rFonts w:ascii="宋体" w:hAnsi="宋体"/>
          <w:szCs w:val="21"/>
        </w:rPr>
      </w:pPr>
      <w:r w:rsidRPr="000C4200">
        <w:rPr>
          <w:rFonts w:ascii="宋体" w:hAnsi="宋体" w:hint="eastAsia"/>
          <w:szCs w:val="21"/>
        </w:rPr>
        <w:t>GB/T 2399</w:t>
      </w:r>
      <w:r>
        <w:rPr>
          <w:rFonts w:ascii="宋体" w:hAnsi="宋体" w:hint="eastAsia"/>
          <w:szCs w:val="21"/>
        </w:rPr>
        <w:t>4</w:t>
      </w:r>
      <w:r w:rsidRPr="000C4200">
        <w:rPr>
          <w:rFonts w:ascii="宋体" w:hAnsi="宋体" w:hint="eastAsia"/>
          <w:szCs w:val="21"/>
        </w:rPr>
        <w:t>-2009</w:t>
      </w:r>
      <w:r w:rsidRPr="00202546">
        <w:rPr>
          <w:rFonts w:ascii="宋体" w:hAnsi="宋体" w:hint="eastAsia"/>
          <w:szCs w:val="21"/>
        </w:rPr>
        <w:t>与人体接触的消费产品用涂料中特定有害元素限量</w:t>
      </w:r>
    </w:p>
    <w:p w:rsidR="00112D5F" w:rsidRDefault="00112D5F" w:rsidP="00112D5F">
      <w:pPr>
        <w:rPr>
          <w:rFonts w:ascii="宋体" w:hAnsi="宋体"/>
          <w:szCs w:val="21"/>
        </w:rPr>
      </w:pPr>
      <w:r w:rsidRPr="000C4200">
        <w:rPr>
          <w:rFonts w:ascii="宋体" w:hAnsi="宋体" w:hint="eastAsia"/>
          <w:szCs w:val="21"/>
        </w:rPr>
        <w:t>GB/T 24001 环境管理体系 要求及使用指南</w:t>
      </w:r>
    </w:p>
    <w:p w:rsidR="00112D5F" w:rsidRPr="00CD0F12" w:rsidRDefault="00112D5F" w:rsidP="00112D5F">
      <w:pPr>
        <w:rPr>
          <w:rFonts w:ascii="宋体" w:hAnsi="宋体"/>
          <w:szCs w:val="21"/>
        </w:rPr>
      </w:pPr>
      <w:r w:rsidRPr="00CD0F12">
        <w:rPr>
          <w:rFonts w:ascii="宋体" w:hAnsi="宋体" w:hint="eastAsia"/>
          <w:szCs w:val="21"/>
        </w:rPr>
        <w:t>GB/T24040 环境管理 生命周期评价 原则与框架</w:t>
      </w:r>
    </w:p>
    <w:p w:rsidR="00112D5F" w:rsidRDefault="00112D5F" w:rsidP="00112D5F">
      <w:pPr>
        <w:rPr>
          <w:rFonts w:ascii="宋体" w:hAnsi="宋体"/>
          <w:szCs w:val="21"/>
        </w:rPr>
      </w:pPr>
      <w:r w:rsidRPr="00CD0F12">
        <w:rPr>
          <w:rFonts w:ascii="宋体" w:hAnsi="宋体" w:hint="eastAsia"/>
          <w:szCs w:val="21"/>
        </w:rPr>
        <w:t>GB/T24044</w:t>
      </w:r>
      <w:r>
        <w:rPr>
          <w:rFonts w:ascii="宋体" w:hAnsi="宋体" w:hint="eastAsia"/>
          <w:szCs w:val="21"/>
        </w:rPr>
        <w:t xml:space="preserve"> 环境管理 生命周期评价 要求与指南</w:t>
      </w:r>
    </w:p>
    <w:p w:rsidR="00112D5F" w:rsidRPr="000C4200" w:rsidRDefault="00112D5F" w:rsidP="00112D5F">
      <w:pPr>
        <w:rPr>
          <w:rFonts w:ascii="宋体" w:hAnsi="宋体"/>
          <w:szCs w:val="21"/>
        </w:rPr>
      </w:pPr>
      <w:r w:rsidRPr="00202546">
        <w:rPr>
          <w:rFonts w:ascii="宋体" w:hAnsi="宋体" w:hint="eastAsia"/>
          <w:szCs w:val="21"/>
        </w:rPr>
        <w:t>GB/T 26125-2011 电子电气产品 六种限用物质的检测方法</w:t>
      </w:r>
    </w:p>
    <w:p w:rsidR="00112D5F" w:rsidRPr="000C4200" w:rsidRDefault="00112D5F" w:rsidP="00112D5F">
      <w:pPr>
        <w:rPr>
          <w:rFonts w:ascii="宋体" w:hAnsi="宋体"/>
          <w:szCs w:val="21"/>
        </w:rPr>
      </w:pPr>
      <w:r w:rsidRPr="000C4200">
        <w:rPr>
          <w:rFonts w:ascii="宋体" w:hAnsi="宋体" w:hint="eastAsia"/>
          <w:szCs w:val="21"/>
        </w:rPr>
        <w:t>GB/T 26572-2011 电子电器产品中限用物质的限量要求</w:t>
      </w:r>
    </w:p>
    <w:p w:rsidR="00112D5F" w:rsidRDefault="00112D5F" w:rsidP="00112D5F">
      <w:pPr>
        <w:rPr>
          <w:rFonts w:ascii="宋体" w:hAnsi="宋体"/>
          <w:szCs w:val="21"/>
        </w:rPr>
      </w:pPr>
      <w:r w:rsidRPr="000C4200">
        <w:rPr>
          <w:rFonts w:ascii="宋体" w:hAnsi="宋体" w:hint="eastAsia"/>
          <w:szCs w:val="21"/>
        </w:rPr>
        <w:t>GB/T 28001 职业健康安全管理体系 要求</w:t>
      </w:r>
    </w:p>
    <w:p w:rsidR="00112D5F" w:rsidRDefault="00112D5F" w:rsidP="00112D5F">
      <w:pPr>
        <w:jc w:val="left"/>
        <w:rPr>
          <w:rFonts w:ascii="宋体" w:hAnsi="宋体"/>
          <w:szCs w:val="21"/>
        </w:rPr>
      </w:pPr>
      <w:r w:rsidRPr="00202546">
        <w:rPr>
          <w:rFonts w:ascii="宋体" w:hAnsi="宋体" w:hint="eastAsia"/>
          <w:szCs w:val="21"/>
        </w:rPr>
        <w:t>GB</w:t>
      </w:r>
      <w:r>
        <w:rPr>
          <w:rFonts w:ascii="宋体" w:hAnsi="宋体" w:hint="eastAsia"/>
          <w:szCs w:val="21"/>
        </w:rPr>
        <w:t>/</w:t>
      </w:r>
      <w:r w:rsidRPr="00202546">
        <w:rPr>
          <w:rFonts w:ascii="宋体" w:hAnsi="宋体" w:hint="eastAsia"/>
          <w:szCs w:val="21"/>
        </w:rPr>
        <w:t>T 30647-2014 涂料中有害元素总含量的测定</w:t>
      </w:r>
    </w:p>
    <w:p w:rsidR="00112D5F" w:rsidRDefault="00112D5F" w:rsidP="00112D5F">
      <w:pPr>
        <w:jc w:val="left"/>
        <w:rPr>
          <w:rFonts w:ascii="宋体" w:hAnsi="宋体"/>
          <w:szCs w:val="21"/>
        </w:rPr>
      </w:pPr>
      <w:r w:rsidRPr="00CD0F12">
        <w:rPr>
          <w:rFonts w:ascii="宋体" w:hAnsi="宋体" w:hint="eastAsia"/>
          <w:szCs w:val="21"/>
        </w:rPr>
        <w:t>GB/T</w:t>
      </w:r>
      <w:r>
        <w:rPr>
          <w:rFonts w:ascii="宋体" w:hAnsi="宋体" w:hint="eastAsia"/>
          <w:szCs w:val="21"/>
        </w:rPr>
        <w:t xml:space="preserve"> </w:t>
      </w:r>
      <w:r w:rsidRPr="00CD0F12">
        <w:rPr>
          <w:rFonts w:ascii="宋体" w:hAnsi="宋体" w:hint="eastAsia"/>
          <w:szCs w:val="21"/>
        </w:rPr>
        <w:t>32161</w:t>
      </w:r>
      <w:r>
        <w:rPr>
          <w:rFonts w:ascii="宋体" w:hAnsi="宋体" w:hint="eastAsia"/>
          <w:szCs w:val="21"/>
        </w:rPr>
        <w:t xml:space="preserve"> 生态设计产品评价通则</w:t>
      </w:r>
    </w:p>
    <w:p w:rsidR="00112D5F" w:rsidRPr="000C4200" w:rsidRDefault="00112D5F" w:rsidP="00112D5F">
      <w:pPr>
        <w:rPr>
          <w:rFonts w:ascii="宋体" w:hAnsi="宋体"/>
          <w:szCs w:val="21"/>
        </w:rPr>
      </w:pPr>
      <w:r w:rsidRPr="000C4200">
        <w:rPr>
          <w:rFonts w:ascii="宋体" w:hAnsi="宋体" w:hint="eastAsia"/>
          <w:szCs w:val="21"/>
        </w:rPr>
        <w:t>GBZ 2.1 工作场所有害因素职业接触限值化学有害因素</w:t>
      </w:r>
    </w:p>
    <w:p w:rsidR="00112D5F" w:rsidRPr="000C4200" w:rsidRDefault="00112D5F" w:rsidP="00112D5F">
      <w:pPr>
        <w:rPr>
          <w:rFonts w:ascii="宋体" w:hAnsi="宋体"/>
          <w:szCs w:val="21"/>
        </w:rPr>
      </w:pPr>
      <w:r w:rsidRPr="000C4200">
        <w:rPr>
          <w:rFonts w:ascii="宋体" w:hAnsi="宋体" w:hint="eastAsia"/>
          <w:szCs w:val="21"/>
        </w:rPr>
        <w:t>GBZ 2.2 工作场所有害因素职业接触限值物理有害因素</w:t>
      </w:r>
    </w:p>
    <w:p w:rsidR="00112D5F" w:rsidRDefault="00112D5F" w:rsidP="00112D5F">
      <w:pPr>
        <w:rPr>
          <w:rFonts w:ascii="宋体" w:hAnsi="宋体"/>
          <w:szCs w:val="21"/>
        </w:rPr>
      </w:pPr>
      <w:r w:rsidRPr="000C4200">
        <w:rPr>
          <w:rFonts w:ascii="宋体" w:hAnsi="宋体" w:hint="eastAsia"/>
          <w:szCs w:val="21"/>
        </w:rPr>
        <w:t>AQ/T 9006 企业安全生产标准化基本规范</w:t>
      </w:r>
    </w:p>
    <w:p w:rsidR="00112D5F" w:rsidRDefault="00112D5F" w:rsidP="00112D5F">
      <w:pPr>
        <w:rPr>
          <w:rFonts w:ascii="宋体" w:hAnsi="宋体"/>
          <w:szCs w:val="21"/>
        </w:rPr>
      </w:pPr>
      <w:r w:rsidRPr="00202546">
        <w:rPr>
          <w:rFonts w:ascii="宋体" w:hAnsi="宋体" w:hint="eastAsia"/>
          <w:szCs w:val="21"/>
        </w:rPr>
        <w:t>JC/T 2177-2013 硅藻泥装饰壁材</w:t>
      </w:r>
    </w:p>
    <w:p w:rsidR="00112D5F" w:rsidRDefault="00112D5F" w:rsidP="00112D5F">
      <w:pPr>
        <w:rPr>
          <w:rFonts w:ascii="宋体" w:hAnsi="宋体"/>
          <w:szCs w:val="21"/>
        </w:rPr>
      </w:pPr>
      <w:r w:rsidRPr="0023340F">
        <w:rPr>
          <w:rFonts w:ascii="宋体" w:hAnsi="宋体" w:hint="eastAsia"/>
          <w:szCs w:val="21"/>
        </w:rPr>
        <w:t xml:space="preserve">JC/T 2498-2018 </w:t>
      </w:r>
      <w:r>
        <w:rPr>
          <w:rFonts w:ascii="宋体" w:hAnsi="宋体" w:hint="eastAsia"/>
          <w:szCs w:val="21"/>
        </w:rPr>
        <w:t>内墙用</w:t>
      </w:r>
      <w:r w:rsidRPr="0023340F">
        <w:rPr>
          <w:rFonts w:ascii="宋体" w:hAnsi="宋体" w:hint="eastAsia"/>
          <w:szCs w:val="21"/>
        </w:rPr>
        <w:t>贝壳粉装饰壁材</w:t>
      </w:r>
    </w:p>
    <w:p w:rsidR="00112D5F" w:rsidRPr="000C4200" w:rsidRDefault="00112D5F" w:rsidP="00112D5F">
      <w:pPr>
        <w:rPr>
          <w:rFonts w:ascii="宋体" w:hAnsi="宋体"/>
          <w:szCs w:val="21"/>
        </w:rPr>
      </w:pPr>
      <w:r>
        <w:rPr>
          <w:rFonts w:ascii="宋体" w:hAnsi="宋体" w:hint="eastAsia"/>
          <w:szCs w:val="21"/>
        </w:rPr>
        <w:t>JG/T 481-2015</w:t>
      </w:r>
      <w:r w:rsidRPr="00202546">
        <w:rPr>
          <w:rFonts w:ascii="宋体" w:hAnsi="宋体" w:hint="eastAsia"/>
          <w:szCs w:val="21"/>
        </w:rPr>
        <w:t>低挥发性有机化合物(VOC)水性内墙涂覆材料</w:t>
      </w:r>
    </w:p>
    <w:p w:rsidR="00BF2C56" w:rsidRPr="000C4200" w:rsidRDefault="00BF2C56" w:rsidP="00BF2C56">
      <w:pPr>
        <w:rPr>
          <w:rFonts w:ascii="宋体" w:hAnsi="宋体"/>
          <w:szCs w:val="21"/>
        </w:rPr>
      </w:pPr>
    </w:p>
    <w:sectPr w:rsidR="00BF2C56" w:rsidRPr="000C4200" w:rsidSect="003541AA">
      <w:pgSz w:w="11906" w:h="16838"/>
      <w:pgMar w:top="1440" w:right="1800" w:bottom="1440" w:left="180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0C9" w:rsidRDefault="00DB20C9" w:rsidP="00BC79AE">
      <w:r>
        <w:separator/>
      </w:r>
    </w:p>
  </w:endnote>
  <w:endnote w:type="continuationSeparator" w:id="0">
    <w:p w:rsidR="00DB20C9" w:rsidRDefault="00DB20C9" w:rsidP="00BC79A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FB0" w:rsidRDefault="00AB3FB0" w:rsidP="00176BF6">
    <w:pPr>
      <w:pStyle w:val="ad"/>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FB0" w:rsidRDefault="00AB3FB0" w:rsidP="00176BF6">
    <w:pPr>
      <w:pStyle w:val="ad"/>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FB0" w:rsidRDefault="00AB3FB0" w:rsidP="00176BF6">
    <w:pPr>
      <w:pStyle w:val="ad"/>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0C9" w:rsidRDefault="00DB20C9" w:rsidP="00BC79AE">
      <w:r>
        <w:separator/>
      </w:r>
    </w:p>
  </w:footnote>
  <w:footnote w:type="continuationSeparator" w:id="0">
    <w:p w:rsidR="00DB20C9" w:rsidRDefault="00DB20C9" w:rsidP="00BC79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FB0" w:rsidRDefault="00AB3FB0" w:rsidP="00176BF6">
    <w:pPr>
      <w:pStyle w:val="ac"/>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FB0" w:rsidRDefault="00AB3FB0" w:rsidP="00176BF6">
    <w:pPr>
      <w:pStyle w:val="ac"/>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FB0" w:rsidRDefault="00AB3FB0" w:rsidP="00176BF6">
    <w:pPr>
      <w:pStyle w:val="ac"/>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78A5"/>
    <w:multiLevelType w:val="hybridMultilevel"/>
    <w:tmpl w:val="6190598E"/>
    <w:lvl w:ilvl="0" w:tplc="0409000F">
      <w:start w:val="1"/>
      <w:numFmt w:val="decimal"/>
      <w:lvlText w:val="%1."/>
      <w:lvlJc w:val="left"/>
      <w:pPr>
        <w:ind w:left="950" w:hanging="420"/>
      </w:pPr>
    </w:lvl>
    <w:lvl w:ilvl="1" w:tplc="04090019" w:tentative="1">
      <w:start w:val="1"/>
      <w:numFmt w:val="lowerLetter"/>
      <w:lvlText w:val="%2)"/>
      <w:lvlJc w:val="left"/>
      <w:pPr>
        <w:ind w:left="1370" w:hanging="420"/>
      </w:pPr>
    </w:lvl>
    <w:lvl w:ilvl="2" w:tplc="0409001B" w:tentative="1">
      <w:start w:val="1"/>
      <w:numFmt w:val="lowerRoman"/>
      <w:lvlText w:val="%3."/>
      <w:lvlJc w:val="right"/>
      <w:pPr>
        <w:ind w:left="1790" w:hanging="420"/>
      </w:pPr>
    </w:lvl>
    <w:lvl w:ilvl="3" w:tplc="0409000F" w:tentative="1">
      <w:start w:val="1"/>
      <w:numFmt w:val="decimal"/>
      <w:lvlText w:val="%4."/>
      <w:lvlJc w:val="left"/>
      <w:pPr>
        <w:ind w:left="2210" w:hanging="420"/>
      </w:pPr>
    </w:lvl>
    <w:lvl w:ilvl="4" w:tplc="04090019" w:tentative="1">
      <w:start w:val="1"/>
      <w:numFmt w:val="lowerLetter"/>
      <w:lvlText w:val="%5)"/>
      <w:lvlJc w:val="left"/>
      <w:pPr>
        <w:ind w:left="2630" w:hanging="420"/>
      </w:pPr>
    </w:lvl>
    <w:lvl w:ilvl="5" w:tplc="0409001B" w:tentative="1">
      <w:start w:val="1"/>
      <w:numFmt w:val="lowerRoman"/>
      <w:lvlText w:val="%6."/>
      <w:lvlJc w:val="right"/>
      <w:pPr>
        <w:ind w:left="3050" w:hanging="420"/>
      </w:pPr>
    </w:lvl>
    <w:lvl w:ilvl="6" w:tplc="0409000F" w:tentative="1">
      <w:start w:val="1"/>
      <w:numFmt w:val="decimal"/>
      <w:lvlText w:val="%7."/>
      <w:lvlJc w:val="left"/>
      <w:pPr>
        <w:ind w:left="3470" w:hanging="420"/>
      </w:pPr>
    </w:lvl>
    <w:lvl w:ilvl="7" w:tplc="04090019" w:tentative="1">
      <w:start w:val="1"/>
      <w:numFmt w:val="lowerLetter"/>
      <w:lvlText w:val="%8)"/>
      <w:lvlJc w:val="left"/>
      <w:pPr>
        <w:ind w:left="3890" w:hanging="420"/>
      </w:pPr>
    </w:lvl>
    <w:lvl w:ilvl="8" w:tplc="0409001B" w:tentative="1">
      <w:start w:val="1"/>
      <w:numFmt w:val="lowerRoman"/>
      <w:lvlText w:val="%9."/>
      <w:lvlJc w:val="right"/>
      <w:pPr>
        <w:ind w:left="4310" w:hanging="420"/>
      </w:pPr>
    </w:lvl>
  </w:abstractNum>
  <w:abstractNum w:abstractNumId="1">
    <w:nsid w:val="0C9139F6"/>
    <w:multiLevelType w:val="hybridMultilevel"/>
    <w:tmpl w:val="D2CA1DF4"/>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4DF615E"/>
    <w:multiLevelType w:val="hybridMultilevel"/>
    <w:tmpl w:val="2D20986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B414755"/>
    <w:multiLevelType w:val="hybridMultilevel"/>
    <w:tmpl w:val="9E3CE52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C8D7C19"/>
    <w:multiLevelType w:val="multilevel"/>
    <w:tmpl w:val="F59274B6"/>
    <w:lvl w:ilvl="0">
      <w:start w:val="1"/>
      <w:numFmt w:val="lowerLetter"/>
      <w:pStyle w:val="a"/>
      <w:lvlText w:val="%1)"/>
      <w:lvlJc w:val="left"/>
      <w:pPr>
        <w:tabs>
          <w:tab w:val="num" w:pos="840"/>
        </w:tabs>
        <w:ind w:left="839" w:hanging="419"/>
      </w:pPr>
      <w:rPr>
        <w:rFonts w:ascii="宋体" w:eastAsia="宋体" w:hint="eastAsia"/>
        <w:b w:val="0"/>
        <w:i w:val="0"/>
        <w:sz w:val="21"/>
        <w:szCs w:val="21"/>
      </w:rPr>
    </w:lvl>
    <w:lvl w:ilvl="1">
      <w:start w:val="1"/>
      <w:numFmt w:val="decimal"/>
      <w:pStyle w:val="a0"/>
      <w:lvlText w:val="%2)"/>
      <w:lvlJc w:val="left"/>
      <w:pPr>
        <w:tabs>
          <w:tab w:val="num" w:pos="1260"/>
        </w:tabs>
        <w:ind w:left="1259" w:hanging="419"/>
      </w:pPr>
      <w:rPr>
        <w:rFonts w:hint="eastAsia"/>
      </w:rPr>
    </w:lvl>
    <w:lvl w:ilvl="2">
      <w:start w:val="1"/>
      <w:numFmt w:val="decimal"/>
      <w:pStyle w:val="a1"/>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5">
    <w:nsid w:val="2A8F7113"/>
    <w:multiLevelType w:val="multilevel"/>
    <w:tmpl w:val="76786F08"/>
    <w:lvl w:ilvl="0">
      <w:start w:val="1"/>
      <w:numFmt w:val="upperLetter"/>
      <w:pStyle w:val="a2"/>
      <w:suff w:val="space"/>
      <w:lvlText w:val="%1"/>
      <w:lvlJc w:val="left"/>
      <w:pPr>
        <w:ind w:left="623" w:hanging="425"/>
      </w:pPr>
      <w:rPr>
        <w:rFonts w:hint="eastAsia"/>
      </w:rPr>
    </w:lvl>
    <w:lvl w:ilvl="1">
      <w:start w:val="1"/>
      <w:numFmt w:val="decimal"/>
      <w:pStyle w:val="a3"/>
      <w:suff w:val="nothing"/>
      <w:lvlText w:val="图%1.%2　"/>
      <w:lvlJc w:val="left"/>
      <w:pPr>
        <w:ind w:left="2127"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6">
    <w:nsid w:val="2B9A7D3C"/>
    <w:multiLevelType w:val="hybridMultilevel"/>
    <w:tmpl w:val="18DE7FBC"/>
    <w:lvl w:ilvl="0" w:tplc="9C3E97D4">
      <w:start w:val="1"/>
      <w:numFmt w:val="decimal"/>
      <w:lvlText w:val="(%1)"/>
      <w:lvlJc w:val="left"/>
      <w:pPr>
        <w:ind w:left="1305" w:hanging="465"/>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301F4776"/>
    <w:multiLevelType w:val="hybridMultilevel"/>
    <w:tmpl w:val="E09EA92A"/>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nsid w:val="365236F1"/>
    <w:multiLevelType w:val="hybridMultilevel"/>
    <w:tmpl w:val="098CA2D6"/>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3A453A94"/>
    <w:multiLevelType w:val="hybridMultilevel"/>
    <w:tmpl w:val="D2CA2C30"/>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4B2915CF"/>
    <w:multiLevelType w:val="multilevel"/>
    <w:tmpl w:val="E24E539E"/>
    <w:lvl w:ilvl="0">
      <w:start w:val="1"/>
      <w:numFmt w:val="decimal"/>
      <w:lvlText w:val="%1)"/>
      <w:lvlJc w:val="left"/>
      <w:pPr>
        <w:tabs>
          <w:tab w:val="num" w:pos="840"/>
        </w:tabs>
        <w:ind w:left="839" w:hanging="419"/>
      </w:pPr>
      <w:rPr>
        <w:rFonts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1">
    <w:nsid w:val="537C058E"/>
    <w:multiLevelType w:val="hybridMultilevel"/>
    <w:tmpl w:val="B31E1D62"/>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59CA69D5"/>
    <w:multiLevelType w:val="hybridMultilevel"/>
    <w:tmpl w:val="B8704376"/>
    <w:lvl w:ilvl="0" w:tplc="9C3E97D4">
      <w:start w:val="1"/>
      <w:numFmt w:val="decimal"/>
      <w:lvlText w:val="(%1)"/>
      <w:lvlJc w:val="left"/>
      <w:pPr>
        <w:ind w:left="2145" w:hanging="465"/>
      </w:pPr>
      <w:rPr>
        <w:rFonts w:hint="default"/>
      </w:rPr>
    </w:lvl>
    <w:lvl w:ilvl="1" w:tplc="04090019" w:tentative="1">
      <w:start w:val="1"/>
      <w:numFmt w:val="lowerLetter"/>
      <w:lvlText w:val="%2)"/>
      <w:lvlJc w:val="lef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nsid w:val="7FC02F72"/>
    <w:multiLevelType w:val="hybridMultilevel"/>
    <w:tmpl w:val="39EA3220"/>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9"/>
  </w:num>
  <w:num w:numId="3">
    <w:abstractNumId w:val="10"/>
  </w:num>
  <w:num w:numId="4">
    <w:abstractNumId w:val="2"/>
  </w:num>
  <w:num w:numId="5">
    <w:abstractNumId w:val="13"/>
  </w:num>
  <w:num w:numId="6">
    <w:abstractNumId w:val="7"/>
  </w:num>
  <w:num w:numId="7">
    <w:abstractNumId w:val="6"/>
  </w:num>
  <w:num w:numId="8">
    <w:abstractNumId w:val="12"/>
  </w:num>
  <w:num w:numId="9">
    <w:abstractNumId w:val="1"/>
  </w:num>
  <w:num w:numId="10">
    <w:abstractNumId w:val="8"/>
  </w:num>
  <w:num w:numId="11">
    <w:abstractNumId w:val="4"/>
  </w:num>
  <w:num w:numId="12">
    <w:abstractNumId w:val="0"/>
  </w:num>
  <w:num w:numId="13">
    <w:abstractNumId w:val="11"/>
  </w:num>
  <w:num w:numId="1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808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3223"/>
    <w:rsid w:val="00007FD9"/>
    <w:rsid w:val="00010F54"/>
    <w:rsid w:val="0001666C"/>
    <w:rsid w:val="00023EC4"/>
    <w:rsid w:val="00025624"/>
    <w:rsid w:val="000346F9"/>
    <w:rsid w:val="000371B8"/>
    <w:rsid w:val="000447C3"/>
    <w:rsid w:val="0005361E"/>
    <w:rsid w:val="000664C0"/>
    <w:rsid w:val="00076A37"/>
    <w:rsid w:val="00092414"/>
    <w:rsid w:val="0009563F"/>
    <w:rsid w:val="000B4551"/>
    <w:rsid w:val="000E7790"/>
    <w:rsid w:val="000F1C0B"/>
    <w:rsid w:val="00112D5F"/>
    <w:rsid w:val="00116652"/>
    <w:rsid w:val="00134822"/>
    <w:rsid w:val="001363A6"/>
    <w:rsid w:val="00155EED"/>
    <w:rsid w:val="0016401B"/>
    <w:rsid w:val="00164BA0"/>
    <w:rsid w:val="00171159"/>
    <w:rsid w:val="00176BF6"/>
    <w:rsid w:val="001775B0"/>
    <w:rsid w:val="001778C4"/>
    <w:rsid w:val="00177DB5"/>
    <w:rsid w:val="00181598"/>
    <w:rsid w:val="00183D86"/>
    <w:rsid w:val="00193D59"/>
    <w:rsid w:val="001B14E6"/>
    <w:rsid w:val="001B38C2"/>
    <w:rsid w:val="001E28A7"/>
    <w:rsid w:val="001E28E3"/>
    <w:rsid w:val="001F11A1"/>
    <w:rsid w:val="001F4479"/>
    <w:rsid w:val="00223259"/>
    <w:rsid w:val="00244F13"/>
    <w:rsid w:val="00246C1A"/>
    <w:rsid w:val="00257AC9"/>
    <w:rsid w:val="00266BAA"/>
    <w:rsid w:val="002966BD"/>
    <w:rsid w:val="0029775C"/>
    <w:rsid w:val="002B4899"/>
    <w:rsid w:val="002B7E82"/>
    <w:rsid w:val="002C78E7"/>
    <w:rsid w:val="002E0028"/>
    <w:rsid w:val="002E0C61"/>
    <w:rsid w:val="002E3B19"/>
    <w:rsid w:val="002E6D03"/>
    <w:rsid w:val="00311838"/>
    <w:rsid w:val="003134BA"/>
    <w:rsid w:val="00323879"/>
    <w:rsid w:val="00330067"/>
    <w:rsid w:val="00333D0A"/>
    <w:rsid w:val="0034399D"/>
    <w:rsid w:val="00350732"/>
    <w:rsid w:val="003541AA"/>
    <w:rsid w:val="0036137C"/>
    <w:rsid w:val="00361930"/>
    <w:rsid w:val="00373027"/>
    <w:rsid w:val="00383D8F"/>
    <w:rsid w:val="003916E2"/>
    <w:rsid w:val="003B056F"/>
    <w:rsid w:val="003C556D"/>
    <w:rsid w:val="003E1212"/>
    <w:rsid w:val="003F23FE"/>
    <w:rsid w:val="004056FE"/>
    <w:rsid w:val="0042122F"/>
    <w:rsid w:val="00433A99"/>
    <w:rsid w:val="00462F02"/>
    <w:rsid w:val="00485177"/>
    <w:rsid w:val="00492504"/>
    <w:rsid w:val="0049598D"/>
    <w:rsid w:val="004A3D9A"/>
    <w:rsid w:val="004B174B"/>
    <w:rsid w:val="004D4D4F"/>
    <w:rsid w:val="005136E3"/>
    <w:rsid w:val="00516ECB"/>
    <w:rsid w:val="00517C6A"/>
    <w:rsid w:val="00520093"/>
    <w:rsid w:val="00523485"/>
    <w:rsid w:val="00535078"/>
    <w:rsid w:val="00541D7E"/>
    <w:rsid w:val="00552E91"/>
    <w:rsid w:val="00564624"/>
    <w:rsid w:val="005646E2"/>
    <w:rsid w:val="005817FD"/>
    <w:rsid w:val="005860C0"/>
    <w:rsid w:val="0059127B"/>
    <w:rsid w:val="005A77D5"/>
    <w:rsid w:val="005C0903"/>
    <w:rsid w:val="005D32BA"/>
    <w:rsid w:val="005E1A31"/>
    <w:rsid w:val="006072ED"/>
    <w:rsid w:val="006132CB"/>
    <w:rsid w:val="00641F4C"/>
    <w:rsid w:val="006557A9"/>
    <w:rsid w:val="00666024"/>
    <w:rsid w:val="00673AFA"/>
    <w:rsid w:val="00687D90"/>
    <w:rsid w:val="00687EDB"/>
    <w:rsid w:val="006B3D3F"/>
    <w:rsid w:val="006C5751"/>
    <w:rsid w:val="006D0B86"/>
    <w:rsid w:val="006D5BAB"/>
    <w:rsid w:val="006D6007"/>
    <w:rsid w:val="006D6B7B"/>
    <w:rsid w:val="0070673F"/>
    <w:rsid w:val="00717358"/>
    <w:rsid w:val="0073120F"/>
    <w:rsid w:val="00737BE7"/>
    <w:rsid w:val="00774ABC"/>
    <w:rsid w:val="007865F6"/>
    <w:rsid w:val="00793ECC"/>
    <w:rsid w:val="0079660C"/>
    <w:rsid w:val="007B0AF4"/>
    <w:rsid w:val="007B6D04"/>
    <w:rsid w:val="007D122D"/>
    <w:rsid w:val="007D5F15"/>
    <w:rsid w:val="007E28D7"/>
    <w:rsid w:val="007E7349"/>
    <w:rsid w:val="007F5679"/>
    <w:rsid w:val="00806D1E"/>
    <w:rsid w:val="00815FCA"/>
    <w:rsid w:val="0082336F"/>
    <w:rsid w:val="00823F2E"/>
    <w:rsid w:val="00837466"/>
    <w:rsid w:val="00837DD8"/>
    <w:rsid w:val="00840A48"/>
    <w:rsid w:val="008419D3"/>
    <w:rsid w:val="00843A51"/>
    <w:rsid w:val="008561AD"/>
    <w:rsid w:val="008818EA"/>
    <w:rsid w:val="008828FE"/>
    <w:rsid w:val="008840BA"/>
    <w:rsid w:val="00895FB6"/>
    <w:rsid w:val="008A4A56"/>
    <w:rsid w:val="008A5A87"/>
    <w:rsid w:val="008A5C4E"/>
    <w:rsid w:val="008B01DF"/>
    <w:rsid w:val="008C543E"/>
    <w:rsid w:val="008D1522"/>
    <w:rsid w:val="008D33A1"/>
    <w:rsid w:val="008E7579"/>
    <w:rsid w:val="009005C9"/>
    <w:rsid w:val="009058D8"/>
    <w:rsid w:val="00905D27"/>
    <w:rsid w:val="00917CF6"/>
    <w:rsid w:val="0094361C"/>
    <w:rsid w:val="00943B7C"/>
    <w:rsid w:val="0094748A"/>
    <w:rsid w:val="00955B08"/>
    <w:rsid w:val="00977E34"/>
    <w:rsid w:val="009A0DCD"/>
    <w:rsid w:val="009A60FA"/>
    <w:rsid w:val="009B059C"/>
    <w:rsid w:val="009B2047"/>
    <w:rsid w:val="009B6106"/>
    <w:rsid w:val="009D3317"/>
    <w:rsid w:val="009E289A"/>
    <w:rsid w:val="00A120E0"/>
    <w:rsid w:val="00A308CB"/>
    <w:rsid w:val="00A35CB9"/>
    <w:rsid w:val="00A51A68"/>
    <w:rsid w:val="00A724C9"/>
    <w:rsid w:val="00A73795"/>
    <w:rsid w:val="00A8393C"/>
    <w:rsid w:val="00A875C9"/>
    <w:rsid w:val="00AA758A"/>
    <w:rsid w:val="00AB3FB0"/>
    <w:rsid w:val="00AB7E68"/>
    <w:rsid w:val="00AC13EE"/>
    <w:rsid w:val="00AC1D55"/>
    <w:rsid w:val="00AD6D6B"/>
    <w:rsid w:val="00B02BA9"/>
    <w:rsid w:val="00B06506"/>
    <w:rsid w:val="00B11ED2"/>
    <w:rsid w:val="00B379E4"/>
    <w:rsid w:val="00B401AA"/>
    <w:rsid w:val="00B5399C"/>
    <w:rsid w:val="00B61AAB"/>
    <w:rsid w:val="00B868C9"/>
    <w:rsid w:val="00B874FD"/>
    <w:rsid w:val="00B915DF"/>
    <w:rsid w:val="00B91D20"/>
    <w:rsid w:val="00BA4E53"/>
    <w:rsid w:val="00BC01D3"/>
    <w:rsid w:val="00BC1712"/>
    <w:rsid w:val="00BC3223"/>
    <w:rsid w:val="00BC63D9"/>
    <w:rsid w:val="00BC7881"/>
    <w:rsid w:val="00BC79AE"/>
    <w:rsid w:val="00BD1D76"/>
    <w:rsid w:val="00BF2C56"/>
    <w:rsid w:val="00C034AC"/>
    <w:rsid w:val="00C311B0"/>
    <w:rsid w:val="00C32700"/>
    <w:rsid w:val="00C420EB"/>
    <w:rsid w:val="00C43FE8"/>
    <w:rsid w:val="00C50C52"/>
    <w:rsid w:val="00C75FCF"/>
    <w:rsid w:val="00C80A49"/>
    <w:rsid w:val="00C80B7D"/>
    <w:rsid w:val="00C81FD8"/>
    <w:rsid w:val="00C90761"/>
    <w:rsid w:val="00CA00E8"/>
    <w:rsid w:val="00CA3530"/>
    <w:rsid w:val="00CB0489"/>
    <w:rsid w:val="00CB34C8"/>
    <w:rsid w:val="00CE1D4F"/>
    <w:rsid w:val="00CE5522"/>
    <w:rsid w:val="00D0091B"/>
    <w:rsid w:val="00D01C18"/>
    <w:rsid w:val="00D07EFC"/>
    <w:rsid w:val="00D121A4"/>
    <w:rsid w:val="00D30FEA"/>
    <w:rsid w:val="00D3778E"/>
    <w:rsid w:val="00D40F80"/>
    <w:rsid w:val="00D41D5E"/>
    <w:rsid w:val="00D53A2E"/>
    <w:rsid w:val="00D72556"/>
    <w:rsid w:val="00D86709"/>
    <w:rsid w:val="00DB1652"/>
    <w:rsid w:val="00DB20C9"/>
    <w:rsid w:val="00DC3411"/>
    <w:rsid w:val="00DD49E5"/>
    <w:rsid w:val="00DD628C"/>
    <w:rsid w:val="00DD6779"/>
    <w:rsid w:val="00DD7105"/>
    <w:rsid w:val="00E120F5"/>
    <w:rsid w:val="00E20785"/>
    <w:rsid w:val="00E2537C"/>
    <w:rsid w:val="00E42A99"/>
    <w:rsid w:val="00E42B8F"/>
    <w:rsid w:val="00E456B8"/>
    <w:rsid w:val="00E54D82"/>
    <w:rsid w:val="00E82F88"/>
    <w:rsid w:val="00E87340"/>
    <w:rsid w:val="00E917E1"/>
    <w:rsid w:val="00E91DFA"/>
    <w:rsid w:val="00EA116D"/>
    <w:rsid w:val="00EB7258"/>
    <w:rsid w:val="00EC27FC"/>
    <w:rsid w:val="00ED7174"/>
    <w:rsid w:val="00EE0D21"/>
    <w:rsid w:val="00F01427"/>
    <w:rsid w:val="00F06632"/>
    <w:rsid w:val="00F12C74"/>
    <w:rsid w:val="00F17153"/>
    <w:rsid w:val="00F23E9E"/>
    <w:rsid w:val="00F26136"/>
    <w:rsid w:val="00F459F6"/>
    <w:rsid w:val="00F50216"/>
    <w:rsid w:val="00F51F7E"/>
    <w:rsid w:val="00F54D3B"/>
    <w:rsid w:val="00F7640B"/>
    <w:rsid w:val="00F93637"/>
    <w:rsid w:val="00F93757"/>
    <w:rsid w:val="00FA6EE7"/>
    <w:rsid w:val="00FB2AF7"/>
    <w:rsid w:val="00FD0BAB"/>
    <w:rsid w:val="00FD1F4D"/>
    <w:rsid w:val="00FD5D85"/>
    <w:rsid w:val="00FD73A5"/>
    <w:rsid w:val="00FE2A62"/>
    <w:rsid w:val="00FF6F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rules v:ext="edit">
        <o:r id="V:Rule18" type="connector" idref="#_x0000_s1063"/>
        <o:r id="V:Rule19" type="connector" idref="#_x0000_s1049">
          <o:proxy start="" idref="#_x0000_s1048" connectloc="3"/>
          <o:proxy end="" idref="#_x0000_s1050" connectloc="1"/>
        </o:r>
        <o:r id="V:Rule20" type="connector" idref="#_x0000_s1061"/>
        <o:r id="V:Rule21" type="connector" idref="#_x0000_s1072"/>
        <o:r id="V:Rule22" type="connector" idref="#_x0000_s1065"/>
        <o:r id="V:Rule23" type="connector" idref="#_x0000_s1071"/>
        <o:r id="V:Rule24" type="connector" idref="#_x0000_s1054">
          <o:proxy end="" idref="#_x0000_s1046" connectloc="1"/>
        </o:r>
        <o:r id="V:Rule25" type="connector" idref="#_x0000_s1053">
          <o:proxy start="" idref="#_x0000_s1044" connectloc="3"/>
          <o:proxy end="" idref="#_x0000_s1045" connectloc="3"/>
        </o:r>
        <o:r id="V:Rule26" type="connector" idref="#_x0000_s1058"/>
        <o:r id="V:Rule27" type="connector" idref="#_x0000_s1055"/>
        <o:r id="V:Rule28" type="connector" idref="#_x0000_s1066"/>
        <o:r id="V:Rule29" type="connector" idref="#_x0000_s1062"/>
        <o:r id="V:Rule30" type="connector" idref="#_x0000_s1064"/>
        <o:r id="V:Rule31" type="connector" idref="#_x0000_s1047">
          <o:proxy start="" idref="#_x0000_s1046" connectloc="3"/>
          <o:proxy end="" idref="#_x0000_s1048" connectloc="1"/>
        </o:r>
        <o:r id="V:Rule32" type="connector" idref="#_x0000_s1060"/>
        <o:r id="V:Rule33" type="connector" idref="#_x0000_s1051">
          <o:proxy start="" idref="#_x0000_s1050" connectloc="3"/>
          <o:proxy end="" idref="#_x0000_s1052" connectloc="1"/>
        </o:r>
        <o:r id="V:Rule34"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BC79AE"/>
    <w:pPr>
      <w:widowControl w:val="0"/>
      <w:spacing w:line="360" w:lineRule="auto"/>
      <w:ind w:firstLineChars="200" w:firstLine="480"/>
      <w:jc w:val="both"/>
    </w:pPr>
    <w:rPr>
      <w:rFonts w:asciiTheme="minorEastAsia" w:hAnsiTheme="minorEastAsia" w:cs="Times New Roman"/>
      <w:sz w:val="24"/>
      <w:szCs w:val="24"/>
    </w:rPr>
  </w:style>
  <w:style w:type="paragraph" w:styleId="1">
    <w:name w:val="heading 1"/>
    <w:basedOn w:val="a4"/>
    <w:next w:val="a4"/>
    <w:link w:val="1Char"/>
    <w:qFormat/>
    <w:rsid w:val="004D4D4F"/>
    <w:pPr>
      <w:keepNext/>
      <w:keepLines/>
      <w:spacing w:before="340" w:after="330" w:line="578" w:lineRule="auto"/>
      <w:outlineLvl w:val="0"/>
    </w:pPr>
    <w:rPr>
      <w:rFonts w:ascii="Times New Roman" w:eastAsia="宋体" w:hAnsi="Times New Roman"/>
      <w:b/>
      <w:bCs/>
      <w:kern w:val="44"/>
      <w:sz w:val="32"/>
      <w:szCs w:val="44"/>
    </w:rPr>
  </w:style>
  <w:style w:type="paragraph" w:styleId="2">
    <w:name w:val="heading 2"/>
    <w:basedOn w:val="a4"/>
    <w:next w:val="a4"/>
    <w:link w:val="2Char"/>
    <w:qFormat/>
    <w:rsid w:val="004D4D4F"/>
    <w:pPr>
      <w:keepNext/>
      <w:keepLines/>
      <w:spacing w:before="260" w:after="260" w:line="416" w:lineRule="auto"/>
      <w:outlineLvl w:val="1"/>
    </w:pPr>
    <w:rPr>
      <w:rFonts w:ascii="Cambria" w:eastAsia="宋体" w:hAnsi="Cambria"/>
      <w:b/>
      <w:bCs/>
      <w:sz w:val="32"/>
      <w:szCs w:val="32"/>
    </w:rPr>
  </w:style>
  <w:style w:type="paragraph" w:styleId="3">
    <w:name w:val="heading 3"/>
    <w:basedOn w:val="a4"/>
    <w:next w:val="a4"/>
    <w:link w:val="3Char"/>
    <w:qFormat/>
    <w:rsid w:val="004D4D4F"/>
    <w:pPr>
      <w:keepNext/>
      <w:keepLines/>
      <w:spacing w:before="260" w:after="260" w:line="416" w:lineRule="auto"/>
      <w:outlineLvl w:val="2"/>
    </w:pPr>
    <w:rPr>
      <w:rFonts w:ascii="Times New Roman" w:eastAsia="宋体" w:hAnsi="Times New Roman"/>
      <w:b/>
      <w:bCs/>
      <w:sz w:val="28"/>
      <w:szCs w:val="3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rmal (Web)"/>
    <w:basedOn w:val="a4"/>
    <w:unhideWhenUsed/>
    <w:rsid w:val="00AD6D6B"/>
    <w:pPr>
      <w:widowControl/>
      <w:spacing w:before="100" w:beforeAutospacing="1" w:after="100" w:afterAutospacing="1"/>
      <w:jc w:val="left"/>
    </w:pPr>
    <w:rPr>
      <w:rFonts w:ascii="宋体" w:eastAsia="宋体" w:hAnsi="宋体" w:cs="宋体"/>
      <w:kern w:val="0"/>
    </w:rPr>
  </w:style>
  <w:style w:type="paragraph" w:styleId="a9">
    <w:name w:val="Balloon Text"/>
    <w:basedOn w:val="a4"/>
    <w:link w:val="Char"/>
    <w:uiPriority w:val="99"/>
    <w:unhideWhenUsed/>
    <w:rsid w:val="00C311B0"/>
    <w:rPr>
      <w:sz w:val="18"/>
      <w:szCs w:val="18"/>
    </w:rPr>
  </w:style>
  <w:style w:type="character" w:customStyle="1" w:styleId="Char">
    <w:name w:val="批注框文本 Char"/>
    <w:basedOn w:val="a5"/>
    <w:link w:val="a9"/>
    <w:uiPriority w:val="99"/>
    <w:semiHidden/>
    <w:rsid w:val="00C311B0"/>
    <w:rPr>
      <w:sz w:val="18"/>
      <w:szCs w:val="18"/>
    </w:rPr>
  </w:style>
  <w:style w:type="paragraph" w:styleId="aa">
    <w:name w:val="List Paragraph"/>
    <w:basedOn w:val="a4"/>
    <w:uiPriority w:val="34"/>
    <w:qFormat/>
    <w:rsid w:val="00EE0D21"/>
    <w:pPr>
      <w:widowControl/>
      <w:ind w:firstLine="420"/>
      <w:jc w:val="left"/>
    </w:pPr>
    <w:rPr>
      <w:rFonts w:ascii="宋体" w:eastAsia="宋体" w:hAnsi="宋体" w:cs="宋体"/>
      <w:kern w:val="0"/>
    </w:rPr>
  </w:style>
  <w:style w:type="table" w:styleId="ab">
    <w:name w:val="Table Grid"/>
    <w:basedOn w:val="a6"/>
    <w:uiPriority w:val="59"/>
    <w:rsid w:val="002E3B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4"/>
    <w:link w:val="Char0"/>
    <w:uiPriority w:val="99"/>
    <w:unhideWhenUsed/>
    <w:rsid w:val="0009563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5"/>
    <w:link w:val="ac"/>
    <w:uiPriority w:val="99"/>
    <w:rsid w:val="0009563F"/>
    <w:rPr>
      <w:sz w:val="18"/>
      <w:szCs w:val="18"/>
    </w:rPr>
  </w:style>
  <w:style w:type="paragraph" w:styleId="ad">
    <w:name w:val="footer"/>
    <w:basedOn w:val="a4"/>
    <w:link w:val="Char1"/>
    <w:uiPriority w:val="99"/>
    <w:unhideWhenUsed/>
    <w:rsid w:val="0009563F"/>
    <w:pPr>
      <w:tabs>
        <w:tab w:val="center" w:pos="4153"/>
        <w:tab w:val="right" w:pos="8306"/>
      </w:tabs>
      <w:snapToGrid w:val="0"/>
      <w:jc w:val="left"/>
    </w:pPr>
    <w:rPr>
      <w:sz w:val="18"/>
      <w:szCs w:val="18"/>
    </w:rPr>
  </w:style>
  <w:style w:type="character" w:customStyle="1" w:styleId="Char1">
    <w:name w:val="页脚 Char"/>
    <w:basedOn w:val="a5"/>
    <w:link w:val="ad"/>
    <w:uiPriority w:val="99"/>
    <w:rsid w:val="0009563F"/>
    <w:rPr>
      <w:sz w:val="18"/>
      <w:szCs w:val="18"/>
    </w:rPr>
  </w:style>
  <w:style w:type="paragraph" w:customStyle="1" w:styleId="ae">
    <w:name w:val="段"/>
    <w:link w:val="Char2"/>
    <w:qFormat/>
    <w:rsid w:val="008C543E"/>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2">
    <w:name w:val="段 Char"/>
    <w:link w:val="ae"/>
    <w:rsid w:val="008C543E"/>
    <w:rPr>
      <w:rFonts w:ascii="宋体" w:eastAsia="宋体" w:hAnsi="Times New Roman" w:cs="Times New Roman"/>
      <w:noProof/>
      <w:kern w:val="0"/>
      <w:szCs w:val="20"/>
    </w:rPr>
  </w:style>
  <w:style w:type="paragraph" w:styleId="20">
    <w:name w:val="Body Text Indent 2"/>
    <w:basedOn w:val="a4"/>
    <w:link w:val="2Char0"/>
    <w:rsid w:val="00D86709"/>
    <w:pPr>
      <w:ind w:leftChars="150" w:left="360"/>
    </w:pPr>
    <w:rPr>
      <w:rFonts w:ascii="宋体" w:eastAsia="宋体" w:hAnsi="宋体"/>
    </w:rPr>
  </w:style>
  <w:style w:type="character" w:customStyle="1" w:styleId="2Char0">
    <w:name w:val="正文文本缩进 2 Char"/>
    <w:basedOn w:val="a5"/>
    <w:link w:val="20"/>
    <w:rsid w:val="00D86709"/>
    <w:rPr>
      <w:rFonts w:ascii="宋体" w:eastAsia="宋体" w:hAnsi="宋体" w:cs="Times New Roman"/>
      <w:sz w:val="24"/>
      <w:szCs w:val="24"/>
    </w:rPr>
  </w:style>
  <w:style w:type="paragraph" w:customStyle="1" w:styleId="DecimalAligned">
    <w:name w:val="Decimal Aligned"/>
    <w:basedOn w:val="a4"/>
    <w:rsid w:val="004D4D4F"/>
    <w:pPr>
      <w:widowControl/>
      <w:tabs>
        <w:tab w:val="decimal" w:pos="360"/>
      </w:tabs>
      <w:spacing w:after="200" w:line="276" w:lineRule="auto"/>
      <w:jc w:val="left"/>
    </w:pPr>
    <w:rPr>
      <w:rFonts w:ascii="Calibri" w:eastAsia="宋体" w:hAnsi="Calibri"/>
      <w:kern w:val="0"/>
      <w:sz w:val="22"/>
    </w:rPr>
  </w:style>
  <w:style w:type="character" w:customStyle="1" w:styleId="1Char">
    <w:name w:val="标题 1 Char"/>
    <w:basedOn w:val="a5"/>
    <w:link w:val="1"/>
    <w:rsid w:val="004D4D4F"/>
    <w:rPr>
      <w:rFonts w:ascii="Times New Roman" w:eastAsia="宋体" w:hAnsi="Times New Roman" w:cs="Times New Roman"/>
      <w:b/>
      <w:bCs/>
      <w:kern w:val="44"/>
      <w:sz w:val="32"/>
      <w:szCs w:val="44"/>
    </w:rPr>
  </w:style>
  <w:style w:type="character" w:customStyle="1" w:styleId="2Char">
    <w:name w:val="标题 2 Char"/>
    <w:basedOn w:val="a5"/>
    <w:link w:val="2"/>
    <w:rsid w:val="004D4D4F"/>
    <w:rPr>
      <w:rFonts w:ascii="Cambria" w:eastAsia="宋体" w:hAnsi="Cambria" w:cs="Times New Roman"/>
      <w:b/>
      <w:bCs/>
      <w:sz w:val="32"/>
      <w:szCs w:val="32"/>
    </w:rPr>
  </w:style>
  <w:style w:type="character" w:customStyle="1" w:styleId="3Char">
    <w:name w:val="标题 3 Char"/>
    <w:basedOn w:val="a5"/>
    <w:link w:val="3"/>
    <w:rsid w:val="004D4D4F"/>
    <w:rPr>
      <w:rFonts w:ascii="Times New Roman" w:eastAsia="宋体" w:hAnsi="Times New Roman" w:cs="Times New Roman"/>
      <w:b/>
      <w:bCs/>
      <w:sz w:val="28"/>
      <w:szCs w:val="32"/>
    </w:rPr>
  </w:style>
  <w:style w:type="character" w:customStyle="1" w:styleId="Char3">
    <w:name w:val="脚注文本 Char"/>
    <w:basedOn w:val="a5"/>
    <w:link w:val="af"/>
    <w:rsid w:val="004D4D4F"/>
    <w:rPr>
      <w:rFonts w:ascii="Calibri" w:eastAsia="宋体" w:hAnsi="Calibri" w:cs="Times New Roman"/>
    </w:rPr>
  </w:style>
  <w:style w:type="character" w:customStyle="1" w:styleId="Char4">
    <w:name w:val="文档结构图 Char"/>
    <w:basedOn w:val="a5"/>
    <w:link w:val="af0"/>
    <w:rsid w:val="004D4D4F"/>
    <w:rPr>
      <w:rFonts w:ascii="宋体"/>
      <w:sz w:val="18"/>
      <w:szCs w:val="18"/>
    </w:rPr>
  </w:style>
  <w:style w:type="character" w:styleId="af1">
    <w:name w:val="Subtle Emphasis"/>
    <w:basedOn w:val="a5"/>
    <w:qFormat/>
    <w:rsid w:val="004D4D4F"/>
    <w:rPr>
      <w:rFonts w:eastAsia="宋体" w:cs="Times New Roman"/>
      <w:bCs w:val="0"/>
      <w:i/>
      <w:iCs/>
      <w:color w:val="808080"/>
      <w:szCs w:val="22"/>
      <w:lang w:eastAsia="zh-CN"/>
    </w:rPr>
  </w:style>
  <w:style w:type="character" w:styleId="af2">
    <w:name w:val="page number"/>
    <w:basedOn w:val="a5"/>
    <w:rsid w:val="004D4D4F"/>
  </w:style>
  <w:style w:type="character" w:customStyle="1" w:styleId="st">
    <w:name w:val="st"/>
    <w:basedOn w:val="a5"/>
    <w:rsid w:val="004D4D4F"/>
  </w:style>
  <w:style w:type="character" w:styleId="af3">
    <w:name w:val="Strong"/>
    <w:basedOn w:val="a5"/>
    <w:qFormat/>
    <w:rsid w:val="004D4D4F"/>
    <w:rPr>
      <w:b/>
      <w:bCs/>
    </w:rPr>
  </w:style>
  <w:style w:type="character" w:customStyle="1" w:styleId="Char5">
    <w:name w:val="纯文本 Char"/>
    <w:basedOn w:val="a5"/>
    <w:link w:val="af4"/>
    <w:rsid w:val="004D4D4F"/>
    <w:rPr>
      <w:rFonts w:ascii="宋体" w:hAnsi="Courier New"/>
    </w:rPr>
  </w:style>
  <w:style w:type="character" w:styleId="af5">
    <w:name w:val="FollowedHyperlink"/>
    <w:basedOn w:val="a5"/>
    <w:rsid w:val="004D4D4F"/>
    <w:rPr>
      <w:color w:val="333333"/>
      <w:u w:val="none"/>
    </w:rPr>
  </w:style>
  <w:style w:type="character" w:styleId="af6">
    <w:name w:val="annotation reference"/>
    <w:basedOn w:val="a5"/>
    <w:rsid w:val="004D4D4F"/>
    <w:rPr>
      <w:sz w:val="21"/>
      <w:szCs w:val="21"/>
    </w:rPr>
  </w:style>
  <w:style w:type="character" w:styleId="af7">
    <w:name w:val="Emphasis"/>
    <w:basedOn w:val="a5"/>
    <w:qFormat/>
    <w:rsid w:val="004D4D4F"/>
    <w:rPr>
      <w:i/>
      <w:iCs/>
    </w:rPr>
  </w:style>
  <w:style w:type="character" w:styleId="af8">
    <w:name w:val="Hyperlink"/>
    <w:basedOn w:val="a5"/>
    <w:uiPriority w:val="99"/>
    <w:rsid w:val="004D4D4F"/>
    <w:rPr>
      <w:color w:val="333333"/>
      <w:u w:val="none"/>
    </w:rPr>
  </w:style>
  <w:style w:type="character" w:customStyle="1" w:styleId="CharChar">
    <w:name w:val="章标题 Char Char"/>
    <w:basedOn w:val="a5"/>
    <w:link w:val="af9"/>
    <w:rsid w:val="004D4D4F"/>
    <w:rPr>
      <w:rFonts w:ascii="黑体" w:eastAsia="黑体"/>
      <w:b/>
    </w:rPr>
  </w:style>
  <w:style w:type="character" w:customStyle="1" w:styleId="Char6">
    <w:name w:val="正文文本缩进 Char"/>
    <w:basedOn w:val="a5"/>
    <w:link w:val="afa"/>
    <w:rsid w:val="004D4D4F"/>
    <w:rPr>
      <w:sz w:val="30"/>
      <w:szCs w:val="24"/>
    </w:rPr>
  </w:style>
  <w:style w:type="character" w:customStyle="1" w:styleId="CharChar0">
    <w:name w:val="段 Char Char"/>
    <w:basedOn w:val="a5"/>
    <w:rsid w:val="004D4D4F"/>
    <w:rPr>
      <w:rFonts w:ascii="宋体" w:hAnsi="宋体" w:cs="宋体"/>
      <w:spacing w:val="-1"/>
      <w:sz w:val="21"/>
      <w:szCs w:val="21"/>
      <w:lang w:val="en-US" w:eastAsia="zh-CN" w:bidi="ar-SA"/>
    </w:rPr>
  </w:style>
  <w:style w:type="character" w:customStyle="1" w:styleId="so-ask-best">
    <w:name w:val="so-ask-best"/>
    <w:basedOn w:val="a5"/>
    <w:rsid w:val="004D4D4F"/>
  </w:style>
  <w:style w:type="paragraph" w:customStyle="1" w:styleId="afb">
    <w:name w:val="前言、引言标题"/>
    <w:next w:val="a4"/>
    <w:rsid w:val="004D4D4F"/>
    <w:pPr>
      <w:shd w:val="clear" w:color="FFFFFF" w:fill="FFFFFF"/>
      <w:tabs>
        <w:tab w:val="num" w:pos="720"/>
      </w:tabs>
      <w:spacing w:before="640" w:after="560"/>
      <w:ind w:left="720" w:hanging="360"/>
      <w:jc w:val="center"/>
      <w:outlineLvl w:val="0"/>
    </w:pPr>
    <w:rPr>
      <w:rFonts w:ascii="黑体" w:eastAsia="黑体" w:hAnsi="Times New Roman" w:cs="Times New Roman"/>
      <w:kern w:val="0"/>
      <w:sz w:val="32"/>
      <w:szCs w:val="20"/>
    </w:rPr>
  </w:style>
  <w:style w:type="paragraph" w:styleId="30">
    <w:name w:val="toc 3"/>
    <w:basedOn w:val="a4"/>
    <w:next w:val="a4"/>
    <w:rsid w:val="004D4D4F"/>
    <w:pPr>
      <w:ind w:leftChars="400" w:left="840"/>
    </w:pPr>
    <w:rPr>
      <w:rFonts w:ascii="Times New Roman" w:eastAsia="宋体" w:hAnsi="Times New Roman"/>
    </w:rPr>
  </w:style>
  <w:style w:type="paragraph" w:customStyle="1" w:styleId="afc">
    <w:name w:val="列项◆（三级）"/>
    <w:basedOn w:val="a4"/>
    <w:rsid w:val="004D4D4F"/>
    <w:pPr>
      <w:tabs>
        <w:tab w:val="left" w:pos="1678"/>
        <w:tab w:val="num" w:pos="2160"/>
      </w:tabs>
      <w:ind w:left="2160" w:hanging="360"/>
    </w:pPr>
    <w:rPr>
      <w:rFonts w:ascii="宋体" w:eastAsia="宋体" w:hAnsi="Times New Roman"/>
      <w:szCs w:val="21"/>
    </w:rPr>
  </w:style>
  <w:style w:type="paragraph" w:styleId="af0">
    <w:name w:val="Document Map"/>
    <w:basedOn w:val="a4"/>
    <w:link w:val="Char4"/>
    <w:rsid w:val="004D4D4F"/>
    <w:rPr>
      <w:rFonts w:ascii="宋体"/>
      <w:sz w:val="18"/>
      <w:szCs w:val="18"/>
    </w:rPr>
  </w:style>
  <w:style w:type="character" w:customStyle="1" w:styleId="Char10">
    <w:name w:val="文档结构图 Char1"/>
    <w:basedOn w:val="a5"/>
    <w:link w:val="af0"/>
    <w:uiPriority w:val="99"/>
    <w:semiHidden/>
    <w:rsid w:val="004D4D4F"/>
    <w:rPr>
      <w:rFonts w:ascii="宋体" w:eastAsia="宋体"/>
      <w:sz w:val="18"/>
      <w:szCs w:val="18"/>
    </w:rPr>
  </w:style>
  <w:style w:type="paragraph" w:styleId="10">
    <w:name w:val="toc 1"/>
    <w:basedOn w:val="a4"/>
    <w:next w:val="a4"/>
    <w:rsid w:val="004D4D4F"/>
    <w:pPr>
      <w:tabs>
        <w:tab w:val="right" w:leader="dot" w:pos="9402"/>
      </w:tabs>
    </w:pPr>
    <w:rPr>
      <w:rFonts w:ascii="Times New Roman" w:eastAsia="宋体" w:hAnsi="Times New Roman"/>
    </w:rPr>
  </w:style>
  <w:style w:type="paragraph" w:styleId="21">
    <w:name w:val="toc 2"/>
    <w:basedOn w:val="a4"/>
    <w:next w:val="a4"/>
    <w:rsid w:val="004D4D4F"/>
    <w:pPr>
      <w:tabs>
        <w:tab w:val="right" w:leader="dot" w:pos="9402"/>
      </w:tabs>
      <w:spacing w:line="480" w:lineRule="auto"/>
      <w:ind w:leftChars="200" w:left="480"/>
    </w:pPr>
    <w:rPr>
      <w:rFonts w:ascii="Times New Roman" w:eastAsia="宋体" w:hAnsi="Times New Roman"/>
    </w:rPr>
  </w:style>
  <w:style w:type="paragraph" w:customStyle="1" w:styleId="afd">
    <w:name w:val="四级条标题"/>
    <w:basedOn w:val="afe"/>
    <w:next w:val="ae"/>
    <w:rsid w:val="004D4D4F"/>
    <w:pPr>
      <w:outlineLvl w:val="5"/>
    </w:pPr>
  </w:style>
  <w:style w:type="paragraph" w:styleId="aff">
    <w:name w:val="Date"/>
    <w:basedOn w:val="a4"/>
    <w:next w:val="a4"/>
    <w:link w:val="Char7"/>
    <w:rsid w:val="004D4D4F"/>
    <w:pPr>
      <w:ind w:leftChars="2500" w:left="100"/>
    </w:pPr>
    <w:rPr>
      <w:rFonts w:ascii="Times New Roman" w:eastAsia="宋体" w:hAnsi="Times New Roman"/>
    </w:rPr>
  </w:style>
  <w:style w:type="character" w:customStyle="1" w:styleId="Char7">
    <w:name w:val="日期 Char"/>
    <w:basedOn w:val="a5"/>
    <w:link w:val="aff"/>
    <w:rsid w:val="004D4D4F"/>
    <w:rPr>
      <w:rFonts w:ascii="Times New Roman" w:eastAsia="宋体" w:hAnsi="Times New Roman" w:cs="Times New Roman"/>
      <w:sz w:val="24"/>
      <w:szCs w:val="24"/>
    </w:rPr>
  </w:style>
  <w:style w:type="paragraph" w:customStyle="1" w:styleId="af9">
    <w:name w:val="章标题"/>
    <w:next w:val="ae"/>
    <w:link w:val="CharChar"/>
    <w:rsid w:val="004D4D4F"/>
    <w:pPr>
      <w:tabs>
        <w:tab w:val="num" w:pos="1440"/>
      </w:tabs>
      <w:spacing w:afterLines="50" w:line="360" w:lineRule="auto"/>
      <w:ind w:left="1440" w:hanging="360"/>
      <w:jc w:val="both"/>
      <w:outlineLvl w:val="1"/>
    </w:pPr>
    <w:rPr>
      <w:rFonts w:ascii="黑体" w:eastAsia="黑体"/>
      <w:b/>
    </w:rPr>
  </w:style>
  <w:style w:type="paragraph" w:customStyle="1" w:styleId="Style4">
    <w:name w:val="_Style 4"/>
    <w:basedOn w:val="a4"/>
    <w:rsid w:val="004D4D4F"/>
    <w:pPr>
      <w:ind w:firstLine="420"/>
    </w:pPr>
    <w:rPr>
      <w:rFonts w:ascii="Times New Roman" w:eastAsia="宋体" w:hAnsi="Times New Roman"/>
    </w:rPr>
  </w:style>
  <w:style w:type="paragraph" w:customStyle="1" w:styleId="aff0">
    <w:name w:val="五级条标题"/>
    <w:basedOn w:val="afd"/>
    <w:next w:val="ae"/>
    <w:rsid w:val="004D4D4F"/>
    <w:pPr>
      <w:outlineLvl w:val="6"/>
    </w:pPr>
  </w:style>
  <w:style w:type="paragraph" w:styleId="afa">
    <w:name w:val="Body Text Indent"/>
    <w:basedOn w:val="a4"/>
    <w:link w:val="Char6"/>
    <w:rsid w:val="004D4D4F"/>
    <w:pPr>
      <w:ind w:firstLine="600"/>
    </w:pPr>
    <w:rPr>
      <w:sz w:val="30"/>
    </w:rPr>
  </w:style>
  <w:style w:type="character" w:customStyle="1" w:styleId="Char11">
    <w:name w:val="正文文本缩进 Char1"/>
    <w:basedOn w:val="a5"/>
    <w:link w:val="afa"/>
    <w:uiPriority w:val="99"/>
    <w:semiHidden/>
    <w:rsid w:val="004D4D4F"/>
  </w:style>
  <w:style w:type="paragraph" w:styleId="aff1">
    <w:name w:val="annotation text"/>
    <w:basedOn w:val="a4"/>
    <w:link w:val="Char8"/>
    <w:unhideWhenUsed/>
    <w:rsid w:val="004D4D4F"/>
    <w:pPr>
      <w:jc w:val="left"/>
    </w:pPr>
  </w:style>
  <w:style w:type="character" w:customStyle="1" w:styleId="Char8">
    <w:name w:val="批注文字 Char"/>
    <w:basedOn w:val="a5"/>
    <w:link w:val="aff1"/>
    <w:uiPriority w:val="99"/>
    <w:semiHidden/>
    <w:rsid w:val="004D4D4F"/>
  </w:style>
  <w:style w:type="paragraph" w:styleId="aff2">
    <w:name w:val="annotation subject"/>
    <w:basedOn w:val="aff1"/>
    <w:next w:val="aff1"/>
    <w:link w:val="Char9"/>
    <w:rsid w:val="004D4D4F"/>
    <w:rPr>
      <w:rFonts w:ascii="Times New Roman" w:eastAsia="宋体" w:hAnsi="Times New Roman"/>
      <w:b/>
      <w:bCs/>
    </w:rPr>
  </w:style>
  <w:style w:type="character" w:customStyle="1" w:styleId="Char9">
    <w:name w:val="批注主题 Char"/>
    <w:basedOn w:val="Char8"/>
    <w:link w:val="aff2"/>
    <w:rsid w:val="004D4D4F"/>
    <w:rPr>
      <w:rFonts w:ascii="Times New Roman" w:eastAsia="宋体" w:hAnsi="Times New Roman" w:cs="Times New Roman"/>
      <w:b/>
      <w:bCs/>
      <w:sz w:val="24"/>
      <w:szCs w:val="24"/>
    </w:rPr>
  </w:style>
  <w:style w:type="paragraph" w:styleId="af">
    <w:name w:val="footnote text"/>
    <w:basedOn w:val="a4"/>
    <w:link w:val="Char3"/>
    <w:rsid w:val="004D4D4F"/>
    <w:pPr>
      <w:widowControl/>
      <w:jc w:val="left"/>
    </w:pPr>
    <w:rPr>
      <w:rFonts w:ascii="Calibri" w:eastAsia="宋体" w:hAnsi="Calibri"/>
    </w:rPr>
  </w:style>
  <w:style w:type="character" w:customStyle="1" w:styleId="Char12">
    <w:name w:val="脚注文本 Char1"/>
    <w:basedOn w:val="a5"/>
    <w:link w:val="af"/>
    <w:uiPriority w:val="99"/>
    <w:semiHidden/>
    <w:rsid w:val="004D4D4F"/>
    <w:rPr>
      <w:sz w:val="18"/>
      <w:szCs w:val="18"/>
    </w:rPr>
  </w:style>
  <w:style w:type="paragraph" w:styleId="af4">
    <w:name w:val="Plain Text"/>
    <w:basedOn w:val="a4"/>
    <w:link w:val="Char5"/>
    <w:rsid w:val="004D4D4F"/>
    <w:rPr>
      <w:rFonts w:ascii="宋体" w:hAnsi="Courier New"/>
    </w:rPr>
  </w:style>
  <w:style w:type="character" w:customStyle="1" w:styleId="Char13">
    <w:name w:val="纯文本 Char1"/>
    <w:basedOn w:val="a5"/>
    <w:link w:val="af4"/>
    <w:uiPriority w:val="99"/>
    <w:semiHidden/>
    <w:rsid w:val="004D4D4F"/>
    <w:rPr>
      <w:rFonts w:ascii="宋体" w:eastAsia="宋体" w:hAnsi="Courier New" w:cs="Courier New"/>
      <w:szCs w:val="21"/>
    </w:rPr>
  </w:style>
  <w:style w:type="paragraph" w:customStyle="1" w:styleId="aff3">
    <w:name w:val="二级条标题"/>
    <w:basedOn w:val="aff4"/>
    <w:next w:val="ae"/>
    <w:rsid w:val="004D4D4F"/>
    <w:pPr>
      <w:outlineLvl w:val="3"/>
    </w:pPr>
  </w:style>
  <w:style w:type="paragraph" w:customStyle="1" w:styleId="11">
    <w:name w:val="列出段落1"/>
    <w:basedOn w:val="a4"/>
    <w:uiPriority w:val="99"/>
    <w:rsid w:val="004D4D4F"/>
    <w:pPr>
      <w:widowControl/>
      <w:spacing w:after="200" w:line="276" w:lineRule="auto"/>
      <w:ind w:left="720"/>
      <w:contextualSpacing/>
      <w:jc w:val="left"/>
    </w:pPr>
    <w:rPr>
      <w:rFonts w:ascii="Calibri" w:eastAsia="宋体" w:hAnsi="Calibri"/>
      <w:kern w:val="0"/>
      <w:sz w:val="22"/>
      <w:lang w:eastAsia="en-US"/>
    </w:rPr>
  </w:style>
  <w:style w:type="paragraph" w:customStyle="1" w:styleId="aff5">
    <w:name w:val="列项——（一级）"/>
    <w:rsid w:val="004D4D4F"/>
    <w:pPr>
      <w:widowControl w:val="0"/>
      <w:tabs>
        <w:tab w:val="num" w:pos="720"/>
      </w:tabs>
      <w:ind w:left="720" w:hanging="360"/>
      <w:jc w:val="both"/>
    </w:pPr>
    <w:rPr>
      <w:rFonts w:ascii="宋体" w:eastAsia="宋体" w:hAnsi="Times New Roman" w:cs="Times New Roman"/>
      <w:kern w:val="0"/>
      <w:szCs w:val="20"/>
    </w:rPr>
  </w:style>
  <w:style w:type="paragraph" w:customStyle="1" w:styleId="Default">
    <w:name w:val="Default"/>
    <w:rsid w:val="004D4D4F"/>
    <w:pPr>
      <w:widowControl w:val="0"/>
      <w:autoSpaceDE w:val="0"/>
      <w:autoSpaceDN w:val="0"/>
      <w:adjustRightInd w:val="0"/>
    </w:pPr>
    <w:rPr>
      <w:rFonts w:ascii="宋体" w:eastAsia="宋体" w:hAnsi="Times New Roman" w:cs="宋体"/>
      <w:color w:val="000000"/>
      <w:kern w:val="0"/>
      <w:sz w:val="24"/>
      <w:szCs w:val="24"/>
    </w:rPr>
  </w:style>
  <w:style w:type="paragraph" w:customStyle="1" w:styleId="Char14">
    <w:name w:val="Char1"/>
    <w:basedOn w:val="a4"/>
    <w:rsid w:val="004D4D4F"/>
    <w:pPr>
      <w:widowControl/>
      <w:spacing w:after="160" w:line="240" w:lineRule="exact"/>
      <w:jc w:val="left"/>
    </w:pPr>
    <w:rPr>
      <w:rFonts w:ascii="Verdana" w:eastAsia="宋体" w:hAnsi="Verdana"/>
      <w:kern w:val="0"/>
      <w:sz w:val="20"/>
      <w:szCs w:val="20"/>
      <w:lang w:eastAsia="en-US"/>
    </w:rPr>
  </w:style>
  <w:style w:type="paragraph" w:customStyle="1" w:styleId="aff6">
    <w:name w:val="列项●（二级）"/>
    <w:rsid w:val="004D4D4F"/>
    <w:pPr>
      <w:tabs>
        <w:tab w:val="left" w:pos="840"/>
        <w:tab w:val="num" w:pos="1440"/>
      </w:tabs>
      <w:ind w:left="1440" w:hanging="360"/>
      <w:jc w:val="both"/>
    </w:pPr>
    <w:rPr>
      <w:rFonts w:ascii="宋体" w:eastAsia="宋体" w:hAnsi="Times New Roman" w:cs="Times New Roman"/>
      <w:kern w:val="0"/>
      <w:szCs w:val="20"/>
    </w:rPr>
  </w:style>
  <w:style w:type="paragraph" w:customStyle="1" w:styleId="S-">
    <w:name w:val="S-正文"/>
    <w:basedOn w:val="a4"/>
    <w:rsid w:val="004D4D4F"/>
    <w:pPr>
      <w:widowControl/>
      <w:ind w:firstLine="200"/>
      <w:jc w:val="left"/>
    </w:pPr>
    <w:rPr>
      <w:rFonts w:ascii="仿宋_GB2312" w:eastAsia="仿宋_GB2312" w:hAnsi="Calibri" w:cs="仿宋_GB2312"/>
      <w:sz w:val="28"/>
    </w:rPr>
  </w:style>
  <w:style w:type="paragraph" w:customStyle="1" w:styleId="afe">
    <w:name w:val="三级条标题"/>
    <w:basedOn w:val="aff3"/>
    <w:next w:val="ae"/>
    <w:rsid w:val="004D4D4F"/>
    <w:pPr>
      <w:outlineLvl w:val="4"/>
    </w:pPr>
  </w:style>
  <w:style w:type="paragraph" w:customStyle="1" w:styleId="aff4">
    <w:name w:val="一级条标题"/>
    <w:next w:val="ae"/>
    <w:rsid w:val="004D4D4F"/>
    <w:pPr>
      <w:tabs>
        <w:tab w:val="num" w:pos="2160"/>
      </w:tabs>
      <w:ind w:left="2160" w:hanging="360"/>
      <w:outlineLvl w:val="2"/>
    </w:pPr>
    <w:rPr>
      <w:rFonts w:ascii="Times New Roman" w:eastAsia="黑体" w:hAnsi="Times New Roman" w:cs="Times New Roman"/>
      <w:kern w:val="0"/>
      <w:szCs w:val="20"/>
    </w:rPr>
  </w:style>
  <w:style w:type="paragraph" w:customStyle="1" w:styleId="037037">
    <w:name w:val="样式 正文缩进 + 左侧:  0.37 厘米 右侧:  0.37 厘米"/>
    <w:basedOn w:val="Default"/>
    <w:next w:val="Default"/>
    <w:rsid w:val="004D4D4F"/>
    <w:rPr>
      <w:rFonts w:cs="Times New Roman"/>
      <w:color w:val="auto"/>
    </w:rPr>
  </w:style>
  <w:style w:type="paragraph" w:styleId="TOC">
    <w:name w:val="TOC Heading"/>
    <w:basedOn w:val="1"/>
    <w:next w:val="a4"/>
    <w:qFormat/>
    <w:rsid w:val="004D4D4F"/>
    <w:pPr>
      <w:widowControl/>
      <w:spacing w:before="480" w:after="0" w:line="276" w:lineRule="auto"/>
      <w:jc w:val="left"/>
      <w:outlineLvl w:val="9"/>
    </w:pPr>
    <w:rPr>
      <w:rFonts w:ascii="Cambria" w:hAnsi="Cambria"/>
      <w:color w:val="365F91"/>
      <w:kern w:val="0"/>
      <w:sz w:val="28"/>
      <w:szCs w:val="28"/>
    </w:rPr>
  </w:style>
  <w:style w:type="paragraph" w:customStyle="1" w:styleId="aff7">
    <w:name w:val="封面标准名称"/>
    <w:rsid w:val="00E120F5"/>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2">
    <w:name w:val="附录图标号"/>
    <w:basedOn w:val="a4"/>
    <w:rsid w:val="005646E2"/>
    <w:pPr>
      <w:keepNext/>
      <w:pageBreakBefore/>
      <w:widowControl/>
      <w:numPr>
        <w:numId w:val="1"/>
      </w:numPr>
      <w:spacing w:line="14" w:lineRule="exact"/>
      <w:ind w:left="0" w:firstLineChars="0" w:firstLine="363"/>
      <w:jc w:val="center"/>
      <w:outlineLvl w:val="0"/>
    </w:pPr>
    <w:rPr>
      <w:rFonts w:ascii="Times New Roman" w:eastAsia="宋体" w:hAnsi="Times New Roman"/>
      <w:color w:val="FFFFFF"/>
      <w:sz w:val="21"/>
    </w:rPr>
  </w:style>
  <w:style w:type="paragraph" w:customStyle="1" w:styleId="a3">
    <w:name w:val="附录图标题"/>
    <w:basedOn w:val="a4"/>
    <w:next w:val="ae"/>
    <w:rsid w:val="005646E2"/>
    <w:pPr>
      <w:numPr>
        <w:ilvl w:val="1"/>
        <w:numId w:val="1"/>
      </w:numPr>
      <w:tabs>
        <w:tab w:val="num" w:pos="363"/>
      </w:tabs>
      <w:spacing w:beforeLines="50" w:afterLines="50" w:line="240" w:lineRule="auto"/>
      <w:ind w:left="0" w:firstLineChars="0" w:firstLine="0"/>
      <w:jc w:val="center"/>
    </w:pPr>
    <w:rPr>
      <w:rFonts w:ascii="黑体" w:eastAsia="黑体" w:hAnsi="Times New Roman"/>
      <w:sz w:val="21"/>
      <w:szCs w:val="21"/>
    </w:rPr>
  </w:style>
  <w:style w:type="paragraph" w:customStyle="1" w:styleId="a0">
    <w:name w:val="数字编号列项（二级）"/>
    <w:rsid w:val="002E0028"/>
    <w:pPr>
      <w:numPr>
        <w:ilvl w:val="1"/>
        <w:numId w:val="11"/>
      </w:numPr>
      <w:jc w:val="both"/>
    </w:pPr>
    <w:rPr>
      <w:rFonts w:ascii="宋体" w:eastAsia="宋体" w:hAnsi="Times New Roman" w:cs="Times New Roman"/>
      <w:kern w:val="0"/>
      <w:szCs w:val="20"/>
    </w:rPr>
  </w:style>
  <w:style w:type="paragraph" w:customStyle="1" w:styleId="a">
    <w:name w:val="字母编号列项（一级）"/>
    <w:rsid w:val="002E0028"/>
    <w:pPr>
      <w:numPr>
        <w:numId w:val="11"/>
      </w:numPr>
      <w:jc w:val="both"/>
    </w:pPr>
    <w:rPr>
      <w:rFonts w:ascii="宋体" w:eastAsia="宋体" w:hAnsi="Times New Roman" w:cs="Times New Roman"/>
      <w:kern w:val="0"/>
      <w:szCs w:val="20"/>
    </w:rPr>
  </w:style>
  <w:style w:type="paragraph" w:customStyle="1" w:styleId="a1">
    <w:name w:val="编号列项（三级）"/>
    <w:rsid w:val="002E0028"/>
    <w:pPr>
      <w:numPr>
        <w:ilvl w:val="2"/>
        <w:numId w:val="11"/>
      </w:numPr>
    </w:pPr>
    <w:rPr>
      <w:rFonts w:ascii="宋体" w:eastAsia="宋体"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w:divs>
    <w:div w:id="10693750">
      <w:bodyDiv w:val="1"/>
      <w:marLeft w:val="0"/>
      <w:marRight w:val="0"/>
      <w:marTop w:val="0"/>
      <w:marBottom w:val="0"/>
      <w:divBdr>
        <w:top w:val="none" w:sz="0" w:space="0" w:color="auto"/>
        <w:left w:val="none" w:sz="0" w:space="0" w:color="auto"/>
        <w:bottom w:val="none" w:sz="0" w:space="0" w:color="auto"/>
        <w:right w:val="none" w:sz="0" w:space="0" w:color="auto"/>
      </w:divBdr>
    </w:div>
    <w:div w:id="183834665">
      <w:bodyDiv w:val="1"/>
      <w:marLeft w:val="0"/>
      <w:marRight w:val="0"/>
      <w:marTop w:val="0"/>
      <w:marBottom w:val="0"/>
      <w:divBdr>
        <w:top w:val="none" w:sz="0" w:space="0" w:color="auto"/>
        <w:left w:val="none" w:sz="0" w:space="0" w:color="auto"/>
        <w:bottom w:val="none" w:sz="0" w:space="0" w:color="auto"/>
        <w:right w:val="none" w:sz="0" w:space="0" w:color="auto"/>
      </w:divBdr>
      <w:divsChild>
        <w:div w:id="136653670">
          <w:marLeft w:val="547"/>
          <w:marRight w:val="0"/>
          <w:marTop w:val="104"/>
          <w:marBottom w:val="0"/>
          <w:divBdr>
            <w:top w:val="none" w:sz="0" w:space="0" w:color="auto"/>
            <w:left w:val="none" w:sz="0" w:space="0" w:color="auto"/>
            <w:bottom w:val="none" w:sz="0" w:space="0" w:color="auto"/>
            <w:right w:val="none" w:sz="0" w:space="0" w:color="auto"/>
          </w:divBdr>
        </w:div>
        <w:div w:id="951404199">
          <w:marLeft w:val="547"/>
          <w:marRight w:val="0"/>
          <w:marTop w:val="104"/>
          <w:marBottom w:val="0"/>
          <w:divBdr>
            <w:top w:val="none" w:sz="0" w:space="0" w:color="auto"/>
            <w:left w:val="none" w:sz="0" w:space="0" w:color="auto"/>
            <w:bottom w:val="none" w:sz="0" w:space="0" w:color="auto"/>
            <w:right w:val="none" w:sz="0" w:space="0" w:color="auto"/>
          </w:divBdr>
        </w:div>
        <w:div w:id="1839300006">
          <w:marLeft w:val="547"/>
          <w:marRight w:val="0"/>
          <w:marTop w:val="104"/>
          <w:marBottom w:val="0"/>
          <w:divBdr>
            <w:top w:val="none" w:sz="0" w:space="0" w:color="auto"/>
            <w:left w:val="none" w:sz="0" w:space="0" w:color="auto"/>
            <w:bottom w:val="none" w:sz="0" w:space="0" w:color="auto"/>
            <w:right w:val="none" w:sz="0" w:space="0" w:color="auto"/>
          </w:divBdr>
        </w:div>
        <w:div w:id="2034527848">
          <w:marLeft w:val="547"/>
          <w:marRight w:val="0"/>
          <w:marTop w:val="104"/>
          <w:marBottom w:val="0"/>
          <w:divBdr>
            <w:top w:val="none" w:sz="0" w:space="0" w:color="auto"/>
            <w:left w:val="none" w:sz="0" w:space="0" w:color="auto"/>
            <w:bottom w:val="none" w:sz="0" w:space="0" w:color="auto"/>
            <w:right w:val="none" w:sz="0" w:space="0" w:color="auto"/>
          </w:divBdr>
        </w:div>
      </w:divsChild>
    </w:div>
    <w:div w:id="195432116">
      <w:bodyDiv w:val="1"/>
      <w:marLeft w:val="0"/>
      <w:marRight w:val="0"/>
      <w:marTop w:val="0"/>
      <w:marBottom w:val="0"/>
      <w:divBdr>
        <w:top w:val="none" w:sz="0" w:space="0" w:color="auto"/>
        <w:left w:val="none" w:sz="0" w:space="0" w:color="auto"/>
        <w:bottom w:val="none" w:sz="0" w:space="0" w:color="auto"/>
        <w:right w:val="none" w:sz="0" w:space="0" w:color="auto"/>
      </w:divBdr>
    </w:div>
    <w:div w:id="241523692">
      <w:bodyDiv w:val="1"/>
      <w:marLeft w:val="0"/>
      <w:marRight w:val="0"/>
      <w:marTop w:val="0"/>
      <w:marBottom w:val="0"/>
      <w:divBdr>
        <w:top w:val="none" w:sz="0" w:space="0" w:color="auto"/>
        <w:left w:val="none" w:sz="0" w:space="0" w:color="auto"/>
        <w:bottom w:val="none" w:sz="0" w:space="0" w:color="auto"/>
        <w:right w:val="none" w:sz="0" w:space="0" w:color="auto"/>
      </w:divBdr>
      <w:divsChild>
        <w:div w:id="430274993">
          <w:marLeft w:val="547"/>
          <w:marRight w:val="0"/>
          <w:marTop w:val="96"/>
          <w:marBottom w:val="0"/>
          <w:divBdr>
            <w:top w:val="none" w:sz="0" w:space="0" w:color="auto"/>
            <w:left w:val="none" w:sz="0" w:space="0" w:color="auto"/>
            <w:bottom w:val="none" w:sz="0" w:space="0" w:color="auto"/>
            <w:right w:val="none" w:sz="0" w:space="0" w:color="auto"/>
          </w:divBdr>
        </w:div>
        <w:div w:id="658077014">
          <w:marLeft w:val="547"/>
          <w:marRight w:val="0"/>
          <w:marTop w:val="96"/>
          <w:marBottom w:val="0"/>
          <w:divBdr>
            <w:top w:val="none" w:sz="0" w:space="0" w:color="auto"/>
            <w:left w:val="none" w:sz="0" w:space="0" w:color="auto"/>
            <w:bottom w:val="none" w:sz="0" w:space="0" w:color="auto"/>
            <w:right w:val="none" w:sz="0" w:space="0" w:color="auto"/>
          </w:divBdr>
        </w:div>
        <w:div w:id="1223053438">
          <w:marLeft w:val="547"/>
          <w:marRight w:val="0"/>
          <w:marTop w:val="96"/>
          <w:marBottom w:val="0"/>
          <w:divBdr>
            <w:top w:val="none" w:sz="0" w:space="0" w:color="auto"/>
            <w:left w:val="none" w:sz="0" w:space="0" w:color="auto"/>
            <w:bottom w:val="none" w:sz="0" w:space="0" w:color="auto"/>
            <w:right w:val="none" w:sz="0" w:space="0" w:color="auto"/>
          </w:divBdr>
        </w:div>
      </w:divsChild>
    </w:div>
    <w:div w:id="331220823">
      <w:bodyDiv w:val="1"/>
      <w:marLeft w:val="0"/>
      <w:marRight w:val="0"/>
      <w:marTop w:val="0"/>
      <w:marBottom w:val="0"/>
      <w:divBdr>
        <w:top w:val="none" w:sz="0" w:space="0" w:color="auto"/>
        <w:left w:val="none" w:sz="0" w:space="0" w:color="auto"/>
        <w:bottom w:val="none" w:sz="0" w:space="0" w:color="auto"/>
        <w:right w:val="none" w:sz="0" w:space="0" w:color="auto"/>
      </w:divBdr>
      <w:divsChild>
        <w:div w:id="1780644074">
          <w:marLeft w:val="461"/>
          <w:marRight w:val="0"/>
          <w:marTop w:val="96"/>
          <w:marBottom w:val="58"/>
          <w:divBdr>
            <w:top w:val="none" w:sz="0" w:space="0" w:color="auto"/>
            <w:left w:val="none" w:sz="0" w:space="0" w:color="auto"/>
            <w:bottom w:val="none" w:sz="0" w:space="0" w:color="auto"/>
            <w:right w:val="none" w:sz="0" w:space="0" w:color="auto"/>
          </w:divBdr>
        </w:div>
        <w:div w:id="1971544542">
          <w:marLeft w:val="461"/>
          <w:marRight w:val="0"/>
          <w:marTop w:val="96"/>
          <w:marBottom w:val="58"/>
          <w:divBdr>
            <w:top w:val="none" w:sz="0" w:space="0" w:color="auto"/>
            <w:left w:val="none" w:sz="0" w:space="0" w:color="auto"/>
            <w:bottom w:val="none" w:sz="0" w:space="0" w:color="auto"/>
            <w:right w:val="none" w:sz="0" w:space="0" w:color="auto"/>
          </w:divBdr>
        </w:div>
        <w:div w:id="2075198218">
          <w:marLeft w:val="461"/>
          <w:marRight w:val="0"/>
          <w:marTop w:val="96"/>
          <w:marBottom w:val="58"/>
          <w:divBdr>
            <w:top w:val="none" w:sz="0" w:space="0" w:color="auto"/>
            <w:left w:val="none" w:sz="0" w:space="0" w:color="auto"/>
            <w:bottom w:val="none" w:sz="0" w:space="0" w:color="auto"/>
            <w:right w:val="none" w:sz="0" w:space="0" w:color="auto"/>
          </w:divBdr>
        </w:div>
      </w:divsChild>
    </w:div>
    <w:div w:id="344795489">
      <w:bodyDiv w:val="1"/>
      <w:marLeft w:val="0"/>
      <w:marRight w:val="0"/>
      <w:marTop w:val="0"/>
      <w:marBottom w:val="0"/>
      <w:divBdr>
        <w:top w:val="none" w:sz="0" w:space="0" w:color="auto"/>
        <w:left w:val="none" w:sz="0" w:space="0" w:color="auto"/>
        <w:bottom w:val="none" w:sz="0" w:space="0" w:color="auto"/>
        <w:right w:val="none" w:sz="0" w:space="0" w:color="auto"/>
      </w:divBdr>
      <w:divsChild>
        <w:div w:id="62534857">
          <w:marLeft w:val="461"/>
          <w:marRight w:val="0"/>
          <w:marTop w:val="96"/>
          <w:marBottom w:val="58"/>
          <w:divBdr>
            <w:top w:val="none" w:sz="0" w:space="0" w:color="auto"/>
            <w:left w:val="none" w:sz="0" w:space="0" w:color="auto"/>
            <w:bottom w:val="none" w:sz="0" w:space="0" w:color="auto"/>
            <w:right w:val="none" w:sz="0" w:space="0" w:color="auto"/>
          </w:divBdr>
        </w:div>
        <w:div w:id="571087274">
          <w:marLeft w:val="461"/>
          <w:marRight w:val="0"/>
          <w:marTop w:val="96"/>
          <w:marBottom w:val="58"/>
          <w:divBdr>
            <w:top w:val="none" w:sz="0" w:space="0" w:color="auto"/>
            <w:left w:val="none" w:sz="0" w:space="0" w:color="auto"/>
            <w:bottom w:val="none" w:sz="0" w:space="0" w:color="auto"/>
            <w:right w:val="none" w:sz="0" w:space="0" w:color="auto"/>
          </w:divBdr>
        </w:div>
        <w:div w:id="1955750544">
          <w:marLeft w:val="461"/>
          <w:marRight w:val="0"/>
          <w:marTop w:val="96"/>
          <w:marBottom w:val="58"/>
          <w:divBdr>
            <w:top w:val="none" w:sz="0" w:space="0" w:color="auto"/>
            <w:left w:val="none" w:sz="0" w:space="0" w:color="auto"/>
            <w:bottom w:val="none" w:sz="0" w:space="0" w:color="auto"/>
            <w:right w:val="none" w:sz="0" w:space="0" w:color="auto"/>
          </w:divBdr>
        </w:div>
      </w:divsChild>
    </w:div>
    <w:div w:id="353578522">
      <w:bodyDiv w:val="1"/>
      <w:marLeft w:val="0"/>
      <w:marRight w:val="0"/>
      <w:marTop w:val="0"/>
      <w:marBottom w:val="0"/>
      <w:divBdr>
        <w:top w:val="none" w:sz="0" w:space="0" w:color="auto"/>
        <w:left w:val="none" w:sz="0" w:space="0" w:color="auto"/>
        <w:bottom w:val="none" w:sz="0" w:space="0" w:color="auto"/>
        <w:right w:val="none" w:sz="0" w:space="0" w:color="auto"/>
      </w:divBdr>
    </w:div>
    <w:div w:id="429736814">
      <w:bodyDiv w:val="1"/>
      <w:marLeft w:val="0"/>
      <w:marRight w:val="0"/>
      <w:marTop w:val="0"/>
      <w:marBottom w:val="0"/>
      <w:divBdr>
        <w:top w:val="none" w:sz="0" w:space="0" w:color="auto"/>
        <w:left w:val="none" w:sz="0" w:space="0" w:color="auto"/>
        <w:bottom w:val="none" w:sz="0" w:space="0" w:color="auto"/>
        <w:right w:val="none" w:sz="0" w:space="0" w:color="auto"/>
      </w:divBdr>
      <w:divsChild>
        <w:div w:id="848256911">
          <w:marLeft w:val="461"/>
          <w:marRight w:val="0"/>
          <w:marTop w:val="108"/>
          <w:marBottom w:val="65"/>
          <w:divBdr>
            <w:top w:val="none" w:sz="0" w:space="0" w:color="auto"/>
            <w:left w:val="none" w:sz="0" w:space="0" w:color="auto"/>
            <w:bottom w:val="none" w:sz="0" w:space="0" w:color="auto"/>
            <w:right w:val="none" w:sz="0" w:space="0" w:color="auto"/>
          </w:divBdr>
        </w:div>
        <w:div w:id="2017146866">
          <w:marLeft w:val="461"/>
          <w:marRight w:val="0"/>
          <w:marTop w:val="108"/>
          <w:marBottom w:val="65"/>
          <w:divBdr>
            <w:top w:val="none" w:sz="0" w:space="0" w:color="auto"/>
            <w:left w:val="none" w:sz="0" w:space="0" w:color="auto"/>
            <w:bottom w:val="none" w:sz="0" w:space="0" w:color="auto"/>
            <w:right w:val="none" w:sz="0" w:space="0" w:color="auto"/>
          </w:divBdr>
        </w:div>
      </w:divsChild>
    </w:div>
    <w:div w:id="474490762">
      <w:bodyDiv w:val="1"/>
      <w:marLeft w:val="0"/>
      <w:marRight w:val="0"/>
      <w:marTop w:val="0"/>
      <w:marBottom w:val="0"/>
      <w:divBdr>
        <w:top w:val="none" w:sz="0" w:space="0" w:color="auto"/>
        <w:left w:val="none" w:sz="0" w:space="0" w:color="auto"/>
        <w:bottom w:val="none" w:sz="0" w:space="0" w:color="auto"/>
        <w:right w:val="none" w:sz="0" w:space="0" w:color="auto"/>
      </w:divBdr>
    </w:div>
    <w:div w:id="599215124">
      <w:bodyDiv w:val="1"/>
      <w:marLeft w:val="0"/>
      <w:marRight w:val="0"/>
      <w:marTop w:val="0"/>
      <w:marBottom w:val="0"/>
      <w:divBdr>
        <w:top w:val="none" w:sz="0" w:space="0" w:color="auto"/>
        <w:left w:val="none" w:sz="0" w:space="0" w:color="auto"/>
        <w:bottom w:val="none" w:sz="0" w:space="0" w:color="auto"/>
        <w:right w:val="none" w:sz="0" w:space="0" w:color="auto"/>
      </w:divBdr>
    </w:div>
    <w:div w:id="632835161">
      <w:bodyDiv w:val="1"/>
      <w:marLeft w:val="0"/>
      <w:marRight w:val="0"/>
      <w:marTop w:val="0"/>
      <w:marBottom w:val="0"/>
      <w:divBdr>
        <w:top w:val="none" w:sz="0" w:space="0" w:color="auto"/>
        <w:left w:val="none" w:sz="0" w:space="0" w:color="auto"/>
        <w:bottom w:val="none" w:sz="0" w:space="0" w:color="auto"/>
        <w:right w:val="none" w:sz="0" w:space="0" w:color="auto"/>
      </w:divBdr>
    </w:div>
    <w:div w:id="714474008">
      <w:bodyDiv w:val="1"/>
      <w:marLeft w:val="0"/>
      <w:marRight w:val="0"/>
      <w:marTop w:val="0"/>
      <w:marBottom w:val="0"/>
      <w:divBdr>
        <w:top w:val="none" w:sz="0" w:space="0" w:color="auto"/>
        <w:left w:val="none" w:sz="0" w:space="0" w:color="auto"/>
        <w:bottom w:val="none" w:sz="0" w:space="0" w:color="auto"/>
        <w:right w:val="none" w:sz="0" w:space="0" w:color="auto"/>
      </w:divBdr>
    </w:div>
    <w:div w:id="720246242">
      <w:bodyDiv w:val="1"/>
      <w:marLeft w:val="0"/>
      <w:marRight w:val="0"/>
      <w:marTop w:val="0"/>
      <w:marBottom w:val="0"/>
      <w:divBdr>
        <w:top w:val="none" w:sz="0" w:space="0" w:color="auto"/>
        <w:left w:val="none" w:sz="0" w:space="0" w:color="auto"/>
        <w:bottom w:val="none" w:sz="0" w:space="0" w:color="auto"/>
        <w:right w:val="none" w:sz="0" w:space="0" w:color="auto"/>
      </w:divBdr>
    </w:div>
    <w:div w:id="772897431">
      <w:bodyDiv w:val="1"/>
      <w:marLeft w:val="0"/>
      <w:marRight w:val="0"/>
      <w:marTop w:val="0"/>
      <w:marBottom w:val="0"/>
      <w:divBdr>
        <w:top w:val="none" w:sz="0" w:space="0" w:color="auto"/>
        <w:left w:val="none" w:sz="0" w:space="0" w:color="auto"/>
        <w:bottom w:val="none" w:sz="0" w:space="0" w:color="auto"/>
        <w:right w:val="none" w:sz="0" w:space="0" w:color="auto"/>
      </w:divBdr>
    </w:div>
    <w:div w:id="931858299">
      <w:bodyDiv w:val="1"/>
      <w:marLeft w:val="0"/>
      <w:marRight w:val="0"/>
      <w:marTop w:val="0"/>
      <w:marBottom w:val="0"/>
      <w:divBdr>
        <w:top w:val="none" w:sz="0" w:space="0" w:color="auto"/>
        <w:left w:val="none" w:sz="0" w:space="0" w:color="auto"/>
        <w:bottom w:val="none" w:sz="0" w:space="0" w:color="auto"/>
        <w:right w:val="none" w:sz="0" w:space="0" w:color="auto"/>
      </w:divBdr>
    </w:div>
    <w:div w:id="946473933">
      <w:bodyDiv w:val="1"/>
      <w:marLeft w:val="0"/>
      <w:marRight w:val="0"/>
      <w:marTop w:val="0"/>
      <w:marBottom w:val="0"/>
      <w:divBdr>
        <w:top w:val="none" w:sz="0" w:space="0" w:color="auto"/>
        <w:left w:val="none" w:sz="0" w:space="0" w:color="auto"/>
        <w:bottom w:val="none" w:sz="0" w:space="0" w:color="auto"/>
        <w:right w:val="none" w:sz="0" w:space="0" w:color="auto"/>
      </w:divBdr>
      <w:divsChild>
        <w:div w:id="14428791">
          <w:marLeft w:val="461"/>
          <w:marRight w:val="0"/>
          <w:marTop w:val="0"/>
          <w:marBottom w:val="79"/>
          <w:divBdr>
            <w:top w:val="none" w:sz="0" w:space="0" w:color="auto"/>
            <w:left w:val="none" w:sz="0" w:space="0" w:color="auto"/>
            <w:bottom w:val="none" w:sz="0" w:space="0" w:color="auto"/>
            <w:right w:val="none" w:sz="0" w:space="0" w:color="auto"/>
          </w:divBdr>
        </w:div>
        <w:div w:id="598296419">
          <w:marLeft w:val="461"/>
          <w:marRight w:val="0"/>
          <w:marTop w:val="0"/>
          <w:marBottom w:val="79"/>
          <w:divBdr>
            <w:top w:val="none" w:sz="0" w:space="0" w:color="auto"/>
            <w:left w:val="none" w:sz="0" w:space="0" w:color="auto"/>
            <w:bottom w:val="none" w:sz="0" w:space="0" w:color="auto"/>
            <w:right w:val="none" w:sz="0" w:space="0" w:color="auto"/>
          </w:divBdr>
        </w:div>
        <w:div w:id="613484785">
          <w:marLeft w:val="461"/>
          <w:marRight w:val="0"/>
          <w:marTop w:val="0"/>
          <w:marBottom w:val="79"/>
          <w:divBdr>
            <w:top w:val="none" w:sz="0" w:space="0" w:color="auto"/>
            <w:left w:val="none" w:sz="0" w:space="0" w:color="auto"/>
            <w:bottom w:val="none" w:sz="0" w:space="0" w:color="auto"/>
            <w:right w:val="none" w:sz="0" w:space="0" w:color="auto"/>
          </w:divBdr>
        </w:div>
        <w:div w:id="1040011554">
          <w:marLeft w:val="461"/>
          <w:marRight w:val="0"/>
          <w:marTop w:val="0"/>
          <w:marBottom w:val="79"/>
          <w:divBdr>
            <w:top w:val="none" w:sz="0" w:space="0" w:color="auto"/>
            <w:left w:val="none" w:sz="0" w:space="0" w:color="auto"/>
            <w:bottom w:val="none" w:sz="0" w:space="0" w:color="auto"/>
            <w:right w:val="none" w:sz="0" w:space="0" w:color="auto"/>
          </w:divBdr>
        </w:div>
      </w:divsChild>
    </w:div>
    <w:div w:id="991518263">
      <w:bodyDiv w:val="1"/>
      <w:marLeft w:val="0"/>
      <w:marRight w:val="0"/>
      <w:marTop w:val="0"/>
      <w:marBottom w:val="0"/>
      <w:divBdr>
        <w:top w:val="none" w:sz="0" w:space="0" w:color="auto"/>
        <w:left w:val="none" w:sz="0" w:space="0" w:color="auto"/>
        <w:bottom w:val="none" w:sz="0" w:space="0" w:color="auto"/>
        <w:right w:val="none" w:sz="0" w:space="0" w:color="auto"/>
      </w:divBdr>
    </w:div>
    <w:div w:id="1002778119">
      <w:bodyDiv w:val="1"/>
      <w:marLeft w:val="0"/>
      <w:marRight w:val="0"/>
      <w:marTop w:val="0"/>
      <w:marBottom w:val="0"/>
      <w:divBdr>
        <w:top w:val="none" w:sz="0" w:space="0" w:color="auto"/>
        <w:left w:val="none" w:sz="0" w:space="0" w:color="auto"/>
        <w:bottom w:val="none" w:sz="0" w:space="0" w:color="auto"/>
        <w:right w:val="none" w:sz="0" w:space="0" w:color="auto"/>
      </w:divBdr>
    </w:div>
    <w:div w:id="1048262536">
      <w:bodyDiv w:val="1"/>
      <w:marLeft w:val="0"/>
      <w:marRight w:val="0"/>
      <w:marTop w:val="0"/>
      <w:marBottom w:val="0"/>
      <w:divBdr>
        <w:top w:val="none" w:sz="0" w:space="0" w:color="auto"/>
        <w:left w:val="none" w:sz="0" w:space="0" w:color="auto"/>
        <w:bottom w:val="none" w:sz="0" w:space="0" w:color="auto"/>
        <w:right w:val="none" w:sz="0" w:space="0" w:color="auto"/>
      </w:divBdr>
      <w:divsChild>
        <w:div w:id="524447611">
          <w:marLeft w:val="446"/>
          <w:marRight w:val="0"/>
          <w:marTop w:val="216"/>
          <w:marBottom w:val="0"/>
          <w:divBdr>
            <w:top w:val="none" w:sz="0" w:space="0" w:color="auto"/>
            <w:left w:val="none" w:sz="0" w:space="0" w:color="auto"/>
            <w:bottom w:val="none" w:sz="0" w:space="0" w:color="auto"/>
            <w:right w:val="none" w:sz="0" w:space="0" w:color="auto"/>
          </w:divBdr>
        </w:div>
        <w:div w:id="1805000411">
          <w:marLeft w:val="446"/>
          <w:marRight w:val="0"/>
          <w:marTop w:val="216"/>
          <w:marBottom w:val="0"/>
          <w:divBdr>
            <w:top w:val="none" w:sz="0" w:space="0" w:color="auto"/>
            <w:left w:val="none" w:sz="0" w:space="0" w:color="auto"/>
            <w:bottom w:val="none" w:sz="0" w:space="0" w:color="auto"/>
            <w:right w:val="none" w:sz="0" w:space="0" w:color="auto"/>
          </w:divBdr>
        </w:div>
      </w:divsChild>
    </w:div>
    <w:div w:id="1059285764">
      <w:bodyDiv w:val="1"/>
      <w:marLeft w:val="0"/>
      <w:marRight w:val="0"/>
      <w:marTop w:val="0"/>
      <w:marBottom w:val="0"/>
      <w:divBdr>
        <w:top w:val="none" w:sz="0" w:space="0" w:color="auto"/>
        <w:left w:val="none" w:sz="0" w:space="0" w:color="auto"/>
        <w:bottom w:val="none" w:sz="0" w:space="0" w:color="auto"/>
        <w:right w:val="none" w:sz="0" w:space="0" w:color="auto"/>
      </w:divBdr>
      <w:divsChild>
        <w:div w:id="1271010033">
          <w:marLeft w:val="461"/>
          <w:marRight w:val="0"/>
          <w:marTop w:val="0"/>
          <w:marBottom w:val="72"/>
          <w:divBdr>
            <w:top w:val="none" w:sz="0" w:space="0" w:color="auto"/>
            <w:left w:val="none" w:sz="0" w:space="0" w:color="auto"/>
            <w:bottom w:val="none" w:sz="0" w:space="0" w:color="auto"/>
            <w:right w:val="none" w:sz="0" w:space="0" w:color="auto"/>
          </w:divBdr>
        </w:div>
      </w:divsChild>
    </w:div>
    <w:div w:id="1082920781">
      <w:bodyDiv w:val="1"/>
      <w:marLeft w:val="0"/>
      <w:marRight w:val="0"/>
      <w:marTop w:val="0"/>
      <w:marBottom w:val="0"/>
      <w:divBdr>
        <w:top w:val="none" w:sz="0" w:space="0" w:color="auto"/>
        <w:left w:val="none" w:sz="0" w:space="0" w:color="auto"/>
        <w:bottom w:val="none" w:sz="0" w:space="0" w:color="auto"/>
        <w:right w:val="none" w:sz="0" w:space="0" w:color="auto"/>
      </w:divBdr>
      <w:divsChild>
        <w:div w:id="1664964452">
          <w:marLeft w:val="461"/>
          <w:marRight w:val="0"/>
          <w:marTop w:val="144"/>
          <w:marBottom w:val="86"/>
          <w:divBdr>
            <w:top w:val="none" w:sz="0" w:space="0" w:color="auto"/>
            <w:left w:val="none" w:sz="0" w:space="0" w:color="auto"/>
            <w:bottom w:val="none" w:sz="0" w:space="0" w:color="auto"/>
            <w:right w:val="none" w:sz="0" w:space="0" w:color="auto"/>
          </w:divBdr>
        </w:div>
      </w:divsChild>
    </w:div>
    <w:div w:id="1203207932">
      <w:bodyDiv w:val="1"/>
      <w:marLeft w:val="0"/>
      <w:marRight w:val="0"/>
      <w:marTop w:val="0"/>
      <w:marBottom w:val="0"/>
      <w:divBdr>
        <w:top w:val="none" w:sz="0" w:space="0" w:color="auto"/>
        <w:left w:val="none" w:sz="0" w:space="0" w:color="auto"/>
        <w:bottom w:val="none" w:sz="0" w:space="0" w:color="auto"/>
        <w:right w:val="none" w:sz="0" w:space="0" w:color="auto"/>
      </w:divBdr>
      <w:divsChild>
        <w:div w:id="1851795985">
          <w:marLeft w:val="461"/>
          <w:marRight w:val="0"/>
          <w:marTop w:val="144"/>
          <w:marBottom w:val="86"/>
          <w:divBdr>
            <w:top w:val="none" w:sz="0" w:space="0" w:color="auto"/>
            <w:left w:val="none" w:sz="0" w:space="0" w:color="auto"/>
            <w:bottom w:val="none" w:sz="0" w:space="0" w:color="auto"/>
            <w:right w:val="none" w:sz="0" w:space="0" w:color="auto"/>
          </w:divBdr>
        </w:div>
        <w:div w:id="1868717458">
          <w:marLeft w:val="461"/>
          <w:marRight w:val="0"/>
          <w:marTop w:val="144"/>
          <w:marBottom w:val="86"/>
          <w:divBdr>
            <w:top w:val="none" w:sz="0" w:space="0" w:color="auto"/>
            <w:left w:val="none" w:sz="0" w:space="0" w:color="auto"/>
            <w:bottom w:val="none" w:sz="0" w:space="0" w:color="auto"/>
            <w:right w:val="none" w:sz="0" w:space="0" w:color="auto"/>
          </w:divBdr>
        </w:div>
      </w:divsChild>
    </w:div>
    <w:div w:id="1210075575">
      <w:bodyDiv w:val="1"/>
      <w:marLeft w:val="0"/>
      <w:marRight w:val="0"/>
      <w:marTop w:val="0"/>
      <w:marBottom w:val="0"/>
      <w:divBdr>
        <w:top w:val="none" w:sz="0" w:space="0" w:color="auto"/>
        <w:left w:val="none" w:sz="0" w:space="0" w:color="auto"/>
        <w:bottom w:val="none" w:sz="0" w:space="0" w:color="auto"/>
        <w:right w:val="none" w:sz="0" w:space="0" w:color="auto"/>
      </w:divBdr>
    </w:div>
    <w:div w:id="1226069165">
      <w:bodyDiv w:val="1"/>
      <w:marLeft w:val="0"/>
      <w:marRight w:val="0"/>
      <w:marTop w:val="0"/>
      <w:marBottom w:val="0"/>
      <w:divBdr>
        <w:top w:val="none" w:sz="0" w:space="0" w:color="auto"/>
        <w:left w:val="none" w:sz="0" w:space="0" w:color="auto"/>
        <w:bottom w:val="none" w:sz="0" w:space="0" w:color="auto"/>
        <w:right w:val="none" w:sz="0" w:space="0" w:color="auto"/>
      </w:divBdr>
    </w:div>
    <w:div w:id="1282691782">
      <w:bodyDiv w:val="1"/>
      <w:marLeft w:val="0"/>
      <w:marRight w:val="0"/>
      <w:marTop w:val="0"/>
      <w:marBottom w:val="0"/>
      <w:divBdr>
        <w:top w:val="none" w:sz="0" w:space="0" w:color="auto"/>
        <w:left w:val="none" w:sz="0" w:space="0" w:color="auto"/>
        <w:bottom w:val="none" w:sz="0" w:space="0" w:color="auto"/>
        <w:right w:val="none" w:sz="0" w:space="0" w:color="auto"/>
      </w:divBdr>
    </w:div>
    <w:div w:id="1305770298">
      <w:bodyDiv w:val="1"/>
      <w:marLeft w:val="0"/>
      <w:marRight w:val="0"/>
      <w:marTop w:val="0"/>
      <w:marBottom w:val="0"/>
      <w:divBdr>
        <w:top w:val="none" w:sz="0" w:space="0" w:color="auto"/>
        <w:left w:val="none" w:sz="0" w:space="0" w:color="auto"/>
        <w:bottom w:val="none" w:sz="0" w:space="0" w:color="auto"/>
        <w:right w:val="none" w:sz="0" w:space="0" w:color="auto"/>
      </w:divBdr>
    </w:div>
    <w:div w:id="1367950206">
      <w:bodyDiv w:val="1"/>
      <w:marLeft w:val="0"/>
      <w:marRight w:val="0"/>
      <w:marTop w:val="0"/>
      <w:marBottom w:val="0"/>
      <w:divBdr>
        <w:top w:val="none" w:sz="0" w:space="0" w:color="auto"/>
        <w:left w:val="none" w:sz="0" w:space="0" w:color="auto"/>
        <w:bottom w:val="none" w:sz="0" w:space="0" w:color="auto"/>
        <w:right w:val="none" w:sz="0" w:space="0" w:color="auto"/>
      </w:divBdr>
      <w:divsChild>
        <w:div w:id="55857104">
          <w:marLeft w:val="461"/>
          <w:marRight w:val="0"/>
          <w:marTop w:val="0"/>
          <w:marBottom w:val="72"/>
          <w:divBdr>
            <w:top w:val="none" w:sz="0" w:space="0" w:color="auto"/>
            <w:left w:val="none" w:sz="0" w:space="0" w:color="auto"/>
            <w:bottom w:val="none" w:sz="0" w:space="0" w:color="auto"/>
            <w:right w:val="none" w:sz="0" w:space="0" w:color="auto"/>
          </w:divBdr>
        </w:div>
        <w:div w:id="867137134">
          <w:marLeft w:val="461"/>
          <w:marRight w:val="0"/>
          <w:marTop w:val="0"/>
          <w:marBottom w:val="72"/>
          <w:divBdr>
            <w:top w:val="none" w:sz="0" w:space="0" w:color="auto"/>
            <w:left w:val="none" w:sz="0" w:space="0" w:color="auto"/>
            <w:bottom w:val="none" w:sz="0" w:space="0" w:color="auto"/>
            <w:right w:val="none" w:sz="0" w:space="0" w:color="auto"/>
          </w:divBdr>
        </w:div>
        <w:div w:id="2130120941">
          <w:marLeft w:val="461"/>
          <w:marRight w:val="0"/>
          <w:marTop w:val="0"/>
          <w:marBottom w:val="72"/>
          <w:divBdr>
            <w:top w:val="none" w:sz="0" w:space="0" w:color="auto"/>
            <w:left w:val="none" w:sz="0" w:space="0" w:color="auto"/>
            <w:bottom w:val="none" w:sz="0" w:space="0" w:color="auto"/>
            <w:right w:val="none" w:sz="0" w:space="0" w:color="auto"/>
          </w:divBdr>
        </w:div>
      </w:divsChild>
    </w:div>
    <w:div w:id="1371145729">
      <w:bodyDiv w:val="1"/>
      <w:marLeft w:val="0"/>
      <w:marRight w:val="0"/>
      <w:marTop w:val="0"/>
      <w:marBottom w:val="0"/>
      <w:divBdr>
        <w:top w:val="none" w:sz="0" w:space="0" w:color="auto"/>
        <w:left w:val="none" w:sz="0" w:space="0" w:color="auto"/>
        <w:bottom w:val="none" w:sz="0" w:space="0" w:color="auto"/>
        <w:right w:val="none" w:sz="0" w:space="0" w:color="auto"/>
      </w:divBdr>
      <w:divsChild>
        <w:div w:id="512112559">
          <w:marLeft w:val="461"/>
          <w:marRight w:val="0"/>
          <w:marTop w:val="114"/>
          <w:marBottom w:val="68"/>
          <w:divBdr>
            <w:top w:val="none" w:sz="0" w:space="0" w:color="auto"/>
            <w:left w:val="none" w:sz="0" w:space="0" w:color="auto"/>
            <w:bottom w:val="none" w:sz="0" w:space="0" w:color="auto"/>
            <w:right w:val="none" w:sz="0" w:space="0" w:color="auto"/>
          </w:divBdr>
        </w:div>
        <w:div w:id="1247494539">
          <w:marLeft w:val="461"/>
          <w:marRight w:val="0"/>
          <w:marTop w:val="114"/>
          <w:marBottom w:val="68"/>
          <w:divBdr>
            <w:top w:val="none" w:sz="0" w:space="0" w:color="auto"/>
            <w:left w:val="none" w:sz="0" w:space="0" w:color="auto"/>
            <w:bottom w:val="none" w:sz="0" w:space="0" w:color="auto"/>
            <w:right w:val="none" w:sz="0" w:space="0" w:color="auto"/>
          </w:divBdr>
        </w:div>
        <w:div w:id="1808427060">
          <w:marLeft w:val="461"/>
          <w:marRight w:val="0"/>
          <w:marTop w:val="114"/>
          <w:marBottom w:val="68"/>
          <w:divBdr>
            <w:top w:val="none" w:sz="0" w:space="0" w:color="auto"/>
            <w:left w:val="none" w:sz="0" w:space="0" w:color="auto"/>
            <w:bottom w:val="none" w:sz="0" w:space="0" w:color="auto"/>
            <w:right w:val="none" w:sz="0" w:space="0" w:color="auto"/>
          </w:divBdr>
        </w:div>
      </w:divsChild>
    </w:div>
    <w:div w:id="1465007236">
      <w:bodyDiv w:val="1"/>
      <w:marLeft w:val="0"/>
      <w:marRight w:val="0"/>
      <w:marTop w:val="0"/>
      <w:marBottom w:val="0"/>
      <w:divBdr>
        <w:top w:val="none" w:sz="0" w:space="0" w:color="auto"/>
        <w:left w:val="none" w:sz="0" w:space="0" w:color="auto"/>
        <w:bottom w:val="none" w:sz="0" w:space="0" w:color="auto"/>
        <w:right w:val="none" w:sz="0" w:space="0" w:color="auto"/>
      </w:divBdr>
      <w:divsChild>
        <w:div w:id="330377422">
          <w:marLeft w:val="461"/>
          <w:marRight w:val="0"/>
          <w:marTop w:val="0"/>
          <w:marBottom w:val="79"/>
          <w:divBdr>
            <w:top w:val="none" w:sz="0" w:space="0" w:color="auto"/>
            <w:left w:val="none" w:sz="0" w:space="0" w:color="auto"/>
            <w:bottom w:val="none" w:sz="0" w:space="0" w:color="auto"/>
            <w:right w:val="none" w:sz="0" w:space="0" w:color="auto"/>
          </w:divBdr>
        </w:div>
        <w:div w:id="975600776">
          <w:marLeft w:val="461"/>
          <w:marRight w:val="0"/>
          <w:marTop w:val="0"/>
          <w:marBottom w:val="79"/>
          <w:divBdr>
            <w:top w:val="none" w:sz="0" w:space="0" w:color="auto"/>
            <w:left w:val="none" w:sz="0" w:space="0" w:color="auto"/>
            <w:bottom w:val="none" w:sz="0" w:space="0" w:color="auto"/>
            <w:right w:val="none" w:sz="0" w:space="0" w:color="auto"/>
          </w:divBdr>
        </w:div>
        <w:div w:id="1784689689">
          <w:marLeft w:val="461"/>
          <w:marRight w:val="0"/>
          <w:marTop w:val="0"/>
          <w:marBottom w:val="79"/>
          <w:divBdr>
            <w:top w:val="none" w:sz="0" w:space="0" w:color="auto"/>
            <w:left w:val="none" w:sz="0" w:space="0" w:color="auto"/>
            <w:bottom w:val="none" w:sz="0" w:space="0" w:color="auto"/>
            <w:right w:val="none" w:sz="0" w:space="0" w:color="auto"/>
          </w:divBdr>
        </w:div>
        <w:div w:id="1819036102">
          <w:marLeft w:val="461"/>
          <w:marRight w:val="0"/>
          <w:marTop w:val="0"/>
          <w:marBottom w:val="79"/>
          <w:divBdr>
            <w:top w:val="none" w:sz="0" w:space="0" w:color="auto"/>
            <w:left w:val="none" w:sz="0" w:space="0" w:color="auto"/>
            <w:bottom w:val="none" w:sz="0" w:space="0" w:color="auto"/>
            <w:right w:val="none" w:sz="0" w:space="0" w:color="auto"/>
          </w:divBdr>
        </w:div>
        <w:div w:id="2002394330">
          <w:marLeft w:val="461"/>
          <w:marRight w:val="0"/>
          <w:marTop w:val="0"/>
          <w:marBottom w:val="79"/>
          <w:divBdr>
            <w:top w:val="none" w:sz="0" w:space="0" w:color="auto"/>
            <w:left w:val="none" w:sz="0" w:space="0" w:color="auto"/>
            <w:bottom w:val="none" w:sz="0" w:space="0" w:color="auto"/>
            <w:right w:val="none" w:sz="0" w:space="0" w:color="auto"/>
          </w:divBdr>
        </w:div>
      </w:divsChild>
    </w:div>
    <w:div w:id="1484353287">
      <w:bodyDiv w:val="1"/>
      <w:marLeft w:val="0"/>
      <w:marRight w:val="0"/>
      <w:marTop w:val="0"/>
      <w:marBottom w:val="0"/>
      <w:divBdr>
        <w:top w:val="none" w:sz="0" w:space="0" w:color="auto"/>
        <w:left w:val="none" w:sz="0" w:space="0" w:color="auto"/>
        <w:bottom w:val="none" w:sz="0" w:space="0" w:color="auto"/>
        <w:right w:val="none" w:sz="0" w:space="0" w:color="auto"/>
      </w:divBdr>
    </w:div>
    <w:div w:id="1531724597">
      <w:bodyDiv w:val="1"/>
      <w:marLeft w:val="0"/>
      <w:marRight w:val="0"/>
      <w:marTop w:val="0"/>
      <w:marBottom w:val="0"/>
      <w:divBdr>
        <w:top w:val="none" w:sz="0" w:space="0" w:color="auto"/>
        <w:left w:val="none" w:sz="0" w:space="0" w:color="auto"/>
        <w:bottom w:val="none" w:sz="0" w:space="0" w:color="auto"/>
        <w:right w:val="none" w:sz="0" w:space="0" w:color="auto"/>
      </w:divBdr>
    </w:div>
    <w:div w:id="1561675786">
      <w:bodyDiv w:val="1"/>
      <w:marLeft w:val="0"/>
      <w:marRight w:val="0"/>
      <w:marTop w:val="0"/>
      <w:marBottom w:val="0"/>
      <w:divBdr>
        <w:top w:val="none" w:sz="0" w:space="0" w:color="auto"/>
        <w:left w:val="none" w:sz="0" w:space="0" w:color="auto"/>
        <w:bottom w:val="none" w:sz="0" w:space="0" w:color="auto"/>
        <w:right w:val="none" w:sz="0" w:space="0" w:color="auto"/>
      </w:divBdr>
    </w:div>
    <w:div w:id="1648702353">
      <w:bodyDiv w:val="1"/>
      <w:marLeft w:val="0"/>
      <w:marRight w:val="0"/>
      <w:marTop w:val="0"/>
      <w:marBottom w:val="0"/>
      <w:divBdr>
        <w:top w:val="none" w:sz="0" w:space="0" w:color="auto"/>
        <w:left w:val="none" w:sz="0" w:space="0" w:color="auto"/>
        <w:bottom w:val="none" w:sz="0" w:space="0" w:color="auto"/>
        <w:right w:val="none" w:sz="0" w:space="0" w:color="auto"/>
      </w:divBdr>
    </w:div>
    <w:div w:id="1678580671">
      <w:bodyDiv w:val="1"/>
      <w:marLeft w:val="0"/>
      <w:marRight w:val="0"/>
      <w:marTop w:val="0"/>
      <w:marBottom w:val="0"/>
      <w:divBdr>
        <w:top w:val="none" w:sz="0" w:space="0" w:color="auto"/>
        <w:left w:val="none" w:sz="0" w:space="0" w:color="auto"/>
        <w:bottom w:val="none" w:sz="0" w:space="0" w:color="auto"/>
        <w:right w:val="none" w:sz="0" w:space="0" w:color="auto"/>
      </w:divBdr>
    </w:div>
    <w:div w:id="1693022738">
      <w:bodyDiv w:val="1"/>
      <w:marLeft w:val="0"/>
      <w:marRight w:val="0"/>
      <w:marTop w:val="0"/>
      <w:marBottom w:val="0"/>
      <w:divBdr>
        <w:top w:val="none" w:sz="0" w:space="0" w:color="auto"/>
        <w:left w:val="none" w:sz="0" w:space="0" w:color="auto"/>
        <w:bottom w:val="none" w:sz="0" w:space="0" w:color="auto"/>
        <w:right w:val="none" w:sz="0" w:space="0" w:color="auto"/>
      </w:divBdr>
    </w:div>
    <w:div w:id="1704016932">
      <w:bodyDiv w:val="1"/>
      <w:marLeft w:val="0"/>
      <w:marRight w:val="0"/>
      <w:marTop w:val="0"/>
      <w:marBottom w:val="0"/>
      <w:divBdr>
        <w:top w:val="none" w:sz="0" w:space="0" w:color="auto"/>
        <w:left w:val="none" w:sz="0" w:space="0" w:color="auto"/>
        <w:bottom w:val="none" w:sz="0" w:space="0" w:color="auto"/>
        <w:right w:val="none" w:sz="0" w:space="0" w:color="auto"/>
      </w:divBdr>
      <w:divsChild>
        <w:div w:id="574977304">
          <w:marLeft w:val="461"/>
          <w:marRight w:val="0"/>
          <w:marTop w:val="144"/>
          <w:marBottom w:val="86"/>
          <w:divBdr>
            <w:top w:val="none" w:sz="0" w:space="0" w:color="auto"/>
            <w:left w:val="none" w:sz="0" w:space="0" w:color="auto"/>
            <w:bottom w:val="none" w:sz="0" w:space="0" w:color="auto"/>
            <w:right w:val="none" w:sz="0" w:space="0" w:color="auto"/>
          </w:divBdr>
        </w:div>
        <w:div w:id="840850818">
          <w:marLeft w:val="461"/>
          <w:marRight w:val="0"/>
          <w:marTop w:val="144"/>
          <w:marBottom w:val="86"/>
          <w:divBdr>
            <w:top w:val="none" w:sz="0" w:space="0" w:color="auto"/>
            <w:left w:val="none" w:sz="0" w:space="0" w:color="auto"/>
            <w:bottom w:val="none" w:sz="0" w:space="0" w:color="auto"/>
            <w:right w:val="none" w:sz="0" w:space="0" w:color="auto"/>
          </w:divBdr>
        </w:div>
        <w:div w:id="2003580012">
          <w:marLeft w:val="461"/>
          <w:marRight w:val="0"/>
          <w:marTop w:val="144"/>
          <w:marBottom w:val="86"/>
          <w:divBdr>
            <w:top w:val="none" w:sz="0" w:space="0" w:color="auto"/>
            <w:left w:val="none" w:sz="0" w:space="0" w:color="auto"/>
            <w:bottom w:val="none" w:sz="0" w:space="0" w:color="auto"/>
            <w:right w:val="none" w:sz="0" w:space="0" w:color="auto"/>
          </w:divBdr>
        </w:div>
      </w:divsChild>
    </w:div>
    <w:div w:id="1725256245">
      <w:bodyDiv w:val="1"/>
      <w:marLeft w:val="0"/>
      <w:marRight w:val="0"/>
      <w:marTop w:val="0"/>
      <w:marBottom w:val="0"/>
      <w:divBdr>
        <w:top w:val="none" w:sz="0" w:space="0" w:color="auto"/>
        <w:left w:val="none" w:sz="0" w:space="0" w:color="auto"/>
        <w:bottom w:val="none" w:sz="0" w:space="0" w:color="auto"/>
        <w:right w:val="none" w:sz="0" w:space="0" w:color="auto"/>
      </w:divBdr>
    </w:div>
    <w:div w:id="1800955949">
      <w:bodyDiv w:val="1"/>
      <w:marLeft w:val="0"/>
      <w:marRight w:val="0"/>
      <w:marTop w:val="0"/>
      <w:marBottom w:val="0"/>
      <w:divBdr>
        <w:top w:val="none" w:sz="0" w:space="0" w:color="auto"/>
        <w:left w:val="none" w:sz="0" w:space="0" w:color="auto"/>
        <w:bottom w:val="none" w:sz="0" w:space="0" w:color="auto"/>
        <w:right w:val="none" w:sz="0" w:space="0" w:color="auto"/>
      </w:divBdr>
      <w:divsChild>
        <w:div w:id="17314419">
          <w:marLeft w:val="461"/>
          <w:marRight w:val="0"/>
          <w:marTop w:val="108"/>
          <w:marBottom w:val="65"/>
          <w:divBdr>
            <w:top w:val="none" w:sz="0" w:space="0" w:color="auto"/>
            <w:left w:val="none" w:sz="0" w:space="0" w:color="auto"/>
            <w:bottom w:val="none" w:sz="0" w:space="0" w:color="auto"/>
            <w:right w:val="none" w:sz="0" w:space="0" w:color="auto"/>
          </w:divBdr>
        </w:div>
        <w:div w:id="954751439">
          <w:marLeft w:val="461"/>
          <w:marRight w:val="0"/>
          <w:marTop w:val="108"/>
          <w:marBottom w:val="65"/>
          <w:divBdr>
            <w:top w:val="none" w:sz="0" w:space="0" w:color="auto"/>
            <w:left w:val="none" w:sz="0" w:space="0" w:color="auto"/>
            <w:bottom w:val="none" w:sz="0" w:space="0" w:color="auto"/>
            <w:right w:val="none" w:sz="0" w:space="0" w:color="auto"/>
          </w:divBdr>
        </w:div>
      </w:divsChild>
    </w:div>
    <w:div w:id="1813401193">
      <w:bodyDiv w:val="1"/>
      <w:marLeft w:val="0"/>
      <w:marRight w:val="0"/>
      <w:marTop w:val="0"/>
      <w:marBottom w:val="0"/>
      <w:divBdr>
        <w:top w:val="none" w:sz="0" w:space="0" w:color="auto"/>
        <w:left w:val="none" w:sz="0" w:space="0" w:color="auto"/>
        <w:bottom w:val="none" w:sz="0" w:space="0" w:color="auto"/>
        <w:right w:val="none" w:sz="0" w:space="0" w:color="auto"/>
      </w:divBdr>
    </w:div>
    <w:div w:id="1930573766">
      <w:bodyDiv w:val="1"/>
      <w:marLeft w:val="0"/>
      <w:marRight w:val="0"/>
      <w:marTop w:val="0"/>
      <w:marBottom w:val="0"/>
      <w:divBdr>
        <w:top w:val="none" w:sz="0" w:space="0" w:color="auto"/>
        <w:left w:val="none" w:sz="0" w:space="0" w:color="auto"/>
        <w:bottom w:val="none" w:sz="0" w:space="0" w:color="auto"/>
        <w:right w:val="none" w:sz="0" w:space="0" w:color="auto"/>
      </w:divBdr>
    </w:div>
    <w:div w:id="1975519342">
      <w:bodyDiv w:val="1"/>
      <w:marLeft w:val="0"/>
      <w:marRight w:val="0"/>
      <w:marTop w:val="0"/>
      <w:marBottom w:val="0"/>
      <w:divBdr>
        <w:top w:val="none" w:sz="0" w:space="0" w:color="auto"/>
        <w:left w:val="none" w:sz="0" w:space="0" w:color="auto"/>
        <w:bottom w:val="none" w:sz="0" w:space="0" w:color="auto"/>
        <w:right w:val="none" w:sz="0" w:space="0" w:color="auto"/>
      </w:divBdr>
    </w:div>
    <w:div w:id="2043364373">
      <w:bodyDiv w:val="1"/>
      <w:marLeft w:val="0"/>
      <w:marRight w:val="0"/>
      <w:marTop w:val="0"/>
      <w:marBottom w:val="0"/>
      <w:divBdr>
        <w:top w:val="none" w:sz="0" w:space="0" w:color="auto"/>
        <w:left w:val="none" w:sz="0" w:space="0" w:color="auto"/>
        <w:bottom w:val="none" w:sz="0" w:space="0" w:color="auto"/>
        <w:right w:val="none" w:sz="0" w:space="0" w:color="auto"/>
      </w:divBdr>
      <w:divsChild>
        <w:div w:id="584799067">
          <w:marLeft w:val="461"/>
          <w:marRight w:val="0"/>
          <w:marTop w:val="120"/>
          <w:marBottom w:val="72"/>
          <w:divBdr>
            <w:top w:val="none" w:sz="0" w:space="0" w:color="auto"/>
            <w:left w:val="none" w:sz="0" w:space="0" w:color="auto"/>
            <w:bottom w:val="none" w:sz="0" w:space="0" w:color="auto"/>
            <w:right w:val="none" w:sz="0" w:space="0" w:color="auto"/>
          </w:divBdr>
        </w:div>
      </w:divsChild>
    </w:div>
    <w:div w:id="2045712331">
      <w:bodyDiv w:val="1"/>
      <w:marLeft w:val="0"/>
      <w:marRight w:val="0"/>
      <w:marTop w:val="0"/>
      <w:marBottom w:val="0"/>
      <w:divBdr>
        <w:top w:val="none" w:sz="0" w:space="0" w:color="auto"/>
        <w:left w:val="none" w:sz="0" w:space="0" w:color="auto"/>
        <w:bottom w:val="none" w:sz="0" w:space="0" w:color="auto"/>
        <w:right w:val="none" w:sz="0" w:space="0" w:color="auto"/>
      </w:divBdr>
      <w:divsChild>
        <w:div w:id="1652951040">
          <w:marLeft w:val="461"/>
          <w:marRight w:val="0"/>
          <w:marTop w:val="108"/>
          <w:marBottom w:val="65"/>
          <w:divBdr>
            <w:top w:val="none" w:sz="0" w:space="0" w:color="auto"/>
            <w:left w:val="none" w:sz="0" w:space="0" w:color="auto"/>
            <w:bottom w:val="none" w:sz="0" w:space="0" w:color="auto"/>
            <w:right w:val="none" w:sz="0" w:space="0" w:color="auto"/>
          </w:divBdr>
        </w:div>
        <w:div w:id="1677030172">
          <w:marLeft w:val="461"/>
          <w:marRight w:val="0"/>
          <w:marTop w:val="108"/>
          <w:marBottom w:val="65"/>
          <w:divBdr>
            <w:top w:val="none" w:sz="0" w:space="0" w:color="auto"/>
            <w:left w:val="none" w:sz="0" w:space="0" w:color="auto"/>
            <w:bottom w:val="none" w:sz="0" w:space="0" w:color="auto"/>
            <w:right w:val="none" w:sz="0" w:space="0" w:color="auto"/>
          </w:divBdr>
        </w:div>
      </w:divsChild>
    </w:div>
    <w:div w:id="2050566388">
      <w:bodyDiv w:val="1"/>
      <w:marLeft w:val="0"/>
      <w:marRight w:val="0"/>
      <w:marTop w:val="0"/>
      <w:marBottom w:val="0"/>
      <w:divBdr>
        <w:top w:val="none" w:sz="0" w:space="0" w:color="auto"/>
        <w:left w:val="none" w:sz="0" w:space="0" w:color="auto"/>
        <w:bottom w:val="none" w:sz="0" w:space="0" w:color="auto"/>
        <w:right w:val="none" w:sz="0" w:space="0" w:color="auto"/>
      </w:divBdr>
    </w:div>
    <w:div w:id="2061706249">
      <w:bodyDiv w:val="1"/>
      <w:marLeft w:val="0"/>
      <w:marRight w:val="0"/>
      <w:marTop w:val="0"/>
      <w:marBottom w:val="0"/>
      <w:divBdr>
        <w:top w:val="none" w:sz="0" w:space="0" w:color="auto"/>
        <w:left w:val="none" w:sz="0" w:space="0" w:color="auto"/>
        <w:bottom w:val="none" w:sz="0" w:space="0" w:color="auto"/>
        <w:right w:val="none" w:sz="0" w:space="0" w:color="auto"/>
      </w:divBdr>
    </w:div>
    <w:div w:id="2081245073">
      <w:bodyDiv w:val="1"/>
      <w:marLeft w:val="0"/>
      <w:marRight w:val="0"/>
      <w:marTop w:val="0"/>
      <w:marBottom w:val="0"/>
      <w:divBdr>
        <w:top w:val="none" w:sz="0" w:space="0" w:color="auto"/>
        <w:left w:val="none" w:sz="0" w:space="0" w:color="auto"/>
        <w:bottom w:val="none" w:sz="0" w:space="0" w:color="auto"/>
        <w:right w:val="none" w:sz="0" w:space="0" w:color="auto"/>
      </w:divBdr>
    </w:div>
    <w:div w:id="2090927699">
      <w:bodyDiv w:val="1"/>
      <w:marLeft w:val="0"/>
      <w:marRight w:val="0"/>
      <w:marTop w:val="0"/>
      <w:marBottom w:val="0"/>
      <w:divBdr>
        <w:top w:val="none" w:sz="0" w:space="0" w:color="auto"/>
        <w:left w:val="none" w:sz="0" w:space="0" w:color="auto"/>
        <w:bottom w:val="none" w:sz="0" w:space="0" w:color="auto"/>
        <w:right w:val="none" w:sz="0" w:space="0" w:color="auto"/>
      </w:divBdr>
    </w:div>
    <w:div w:id="2102337666">
      <w:bodyDiv w:val="1"/>
      <w:marLeft w:val="0"/>
      <w:marRight w:val="0"/>
      <w:marTop w:val="0"/>
      <w:marBottom w:val="0"/>
      <w:divBdr>
        <w:top w:val="none" w:sz="0" w:space="0" w:color="auto"/>
        <w:left w:val="none" w:sz="0" w:space="0" w:color="auto"/>
        <w:bottom w:val="none" w:sz="0" w:space="0" w:color="auto"/>
        <w:right w:val="none" w:sz="0" w:space="0" w:color="auto"/>
      </w:divBdr>
    </w:div>
    <w:div w:id="210784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D:\&#29579;&#29790;&#34164;&#24037;&#20316;\&#31185;&#30740;&#31867;&#24037;&#20316;\2.&#26631;&#20934;&#31867;\&#32511;&#33394;&#35774;&#35745;&#20135;&#21697;\&#30789;&#34299;&#27877;\&#26631;&#20934;&#39564;&#35777;\&#39564;&#35777;&#32467;&#26524;\&#25490;&#24207;.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9579;&#29790;&#34164;&#24037;&#20316;\&#31185;&#30740;&#31867;&#24037;&#20316;\2.&#26631;&#20934;&#31867;\&#32511;&#33394;&#35774;&#35745;&#20135;&#21697;\&#30789;&#34299;&#27877;\&#26631;&#20934;&#39564;&#35777;\&#39564;&#35777;&#32467;&#26524;\&#25490;&#24207;.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9579;&#29790;&#34164;&#24037;&#20316;\&#31185;&#30740;&#31867;&#24037;&#20316;\2.&#26631;&#20934;&#31867;\&#32511;&#33394;&#35774;&#35745;&#20135;&#21697;\&#30789;&#34299;&#27877;\&#26631;&#20934;&#39564;&#35777;\&#39564;&#35777;&#32467;&#26524;\&#39564;&#35777;&#32467;&#26524;-&#21513;&#26519;&#30465;&#26149;&#20043;&#20803;&#30789;&#34299;&#26032;&#26448;&#26009;&#31185;&#25216;&#26377;&#38480;&#20844;&#21496;.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29579;&#29790;&#34164;&#24037;&#20316;\&#31185;&#30740;&#31867;&#24037;&#20316;\2.&#26631;&#20934;&#31867;\&#32511;&#33394;&#35774;&#35745;&#20135;&#21697;\&#30789;&#34299;&#27877;\&#26631;&#20934;&#39564;&#35777;\&#39564;&#35777;&#32467;&#26524;\&#39564;&#35777;&#32467;&#26524;-&#21513;&#26519;&#30465;&#26149;&#20043;&#20803;&#30789;&#34299;&#26032;&#26448;&#26009;&#31185;&#25216;&#26377;&#38480;&#20844;&#21496;.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29579;&#29790;&#34164;&#24037;&#20316;\&#31185;&#30740;&#31867;&#24037;&#20316;\2.&#26631;&#20934;&#31867;\&#32511;&#33394;&#35774;&#35745;&#20135;&#21697;\&#30789;&#34299;&#27877;\&#26631;&#20934;&#39564;&#35777;\&#39564;&#35777;&#32467;&#26524;\&#26631;&#20934;&#39564;&#35777;-&#33829;&#21475;&#30460;&#30460;&#30789;&#34299;&#26448;&#26009;&#38598;&#22242;&#26377;&#38480;&#20844;&#21496;.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29579;&#29790;&#34164;&#24037;&#20316;\&#31185;&#30740;&#31867;&#24037;&#20316;\2.&#26631;&#20934;&#31867;\&#32511;&#33394;&#35774;&#35745;&#20135;&#21697;\&#30789;&#34299;&#27877;\&#26631;&#20934;&#39564;&#35777;\&#39564;&#35777;&#32467;&#26524;\&#26631;&#20934;&#39564;&#35777;-&#33829;&#21475;&#30460;&#30460;&#30789;&#34299;&#26448;&#26009;&#38598;&#22242;&#26377;&#38480;&#20844;&#2149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spPr>
            <a:solidFill>
              <a:schemeClr val="accent1"/>
            </a:solidFill>
            <a:ln>
              <a:noFill/>
            </a:ln>
            <a:effectLst/>
          </c:spPr>
          <c:cat>
            <c:strRef>
              <c:f>Sheet3!$A$3:$A$19</c:f>
              <c:strCache>
                <c:ptCount val="17"/>
                <c:pt idx="0">
                  <c:v>水资源消耗</c:v>
                </c:pt>
                <c:pt idx="1">
                  <c:v>全球变暖</c:v>
                </c:pt>
                <c:pt idx="2">
                  <c:v>颗粒物形成</c:v>
                </c:pt>
                <c:pt idx="3">
                  <c:v>人体毒性-致癌损害</c:v>
                </c:pt>
                <c:pt idx="4">
                  <c:v>人体毒性-非致癌损害</c:v>
                </c:pt>
                <c:pt idx="5">
                  <c:v>陆地生态系统酸化</c:v>
                </c:pt>
                <c:pt idx="6">
                  <c:v>化石能源耗竭</c:v>
                </c:pt>
                <c:pt idx="7">
                  <c:v>臭氧形成</c:v>
                </c:pt>
                <c:pt idx="8">
                  <c:v>土地使用</c:v>
                </c:pt>
                <c:pt idx="9">
                  <c:v>淡水生态系统富营养化</c:v>
                </c:pt>
                <c:pt idx="10">
                  <c:v>陆地生态系统毒性</c:v>
                </c:pt>
                <c:pt idx="11">
                  <c:v>电离辐射</c:v>
                </c:pt>
                <c:pt idx="12">
                  <c:v>平流层臭氧消耗</c:v>
                </c:pt>
                <c:pt idx="13">
                  <c:v>淡水生态系统毒性</c:v>
                </c:pt>
                <c:pt idx="14">
                  <c:v>矿产资源耗竭</c:v>
                </c:pt>
                <c:pt idx="15">
                  <c:v>海洋生态系统毒性</c:v>
                </c:pt>
                <c:pt idx="16">
                  <c:v>海洋富营养化</c:v>
                </c:pt>
              </c:strCache>
            </c:strRef>
          </c:cat>
          <c:val>
            <c:numRef>
              <c:f>Sheet3!$C$3:$C$19</c:f>
              <c:numCache>
                <c:formatCode>0.00E+00</c:formatCode>
                <c:ptCount val="17"/>
                <c:pt idx="0">
                  <c:v>52.4</c:v>
                </c:pt>
                <c:pt idx="1">
                  <c:v>27</c:v>
                </c:pt>
                <c:pt idx="2">
                  <c:v>16.600000000000001</c:v>
                </c:pt>
                <c:pt idx="3">
                  <c:v>2.12</c:v>
                </c:pt>
                <c:pt idx="4">
                  <c:v>0.56799999999999995</c:v>
                </c:pt>
                <c:pt idx="5">
                  <c:v>0.502</c:v>
                </c:pt>
                <c:pt idx="6">
                  <c:v>0.37600000000000033</c:v>
                </c:pt>
                <c:pt idx="7">
                  <c:v>0.36700000000000038</c:v>
                </c:pt>
                <c:pt idx="8">
                  <c:v>8.5300000000000001E-2</c:v>
                </c:pt>
                <c:pt idx="9">
                  <c:v>4.6699999999999998E-2</c:v>
                </c:pt>
                <c:pt idx="10">
                  <c:v>2.2500000000000006E-2</c:v>
                </c:pt>
                <c:pt idx="11">
                  <c:v>1.2300000000000005E-2</c:v>
                </c:pt>
                <c:pt idx="12">
                  <c:v>5.8500000000000062E-3</c:v>
                </c:pt>
                <c:pt idx="13">
                  <c:v>1.6000000000000016E-3</c:v>
                </c:pt>
                <c:pt idx="14">
                  <c:v>6.4900000000000103E-4</c:v>
                </c:pt>
                <c:pt idx="15">
                  <c:v>4.2800000000000065E-4</c:v>
                </c:pt>
                <c:pt idx="16">
                  <c:v>9.6200000000000146E-6</c:v>
                </c:pt>
              </c:numCache>
            </c:numRef>
          </c:val>
        </c:ser>
        <c:gapWidth val="219"/>
        <c:overlap val="-27"/>
        <c:axId val="250414592"/>
        <c:axId val="250416128"/>
      </c:barChart>
      <c:catAx>
        <c:axId val="2504145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250416128"/>
        <c:crosses val="autoZero"/>
        <c:auto val="1"/>
        <c:lblAlgn val="ctr"/>
        <c:lblOffset val="100"/>
      </c:catAx>
      <c:valAx>
        <c:axId val="250416128"/>
        <c:scaling>
          <c:orientation val="minMax"/>
        </c:scaling>
        <c:axPos val="l"/>
        <c:numFmt formatCode="0.00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250414592"/>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CN"/>
  <c:chart>
    <c:autoTitleDeleted val="1"/>
    <c:plotArea>
      <c:layout/>
      <c:barChart>
        <c:barDir val="col"/>
        <c:grouping val="clustered"/>
        <c:ser>
          <c:idx val="0"/>
          <c:order val="0"/>
          <c:spPr>
            <a:solidFill>
              <a:schemeClr val="accent1"/>
            </a:solidFill>
            <a:ln>
              <a:noFill/>
            </a:ln>
            <a:effectLst/>
          </c:spPr>
          <c:cat>
            <c:strRef>
              <c:f>Sheet3!$D$1:$K$1</c:f>
              <c:strCache>
                <c:ptCount val="8"/>
                <c:pt idx="0">
                  <c:v>硅藻泥生产</c:v>
                </c:pt>
                <c:pt idx="1">
                  <c:v>硅藻土开采</c:v>
                </c:pt>
                <c:pt idx="2">
                  <c:v>氢氧化钙生产</c:v>
                </c:pt>
                <c:pt idx="3">
                  <c:v>石英砂开采</c:v>
                </c:pt>
                <c:pt idx="4">
                  <c:v>天然气生产</c:v>
                </c:pt>
                <c:pt idx="5">
                  <c:v>柴油生产</c:v>
                </c:pt>
                <c:pt idx="6">
                  <c:v>原料运输</c:v>
                </c:pt>
                <c:pt idx="7">
                  <c:v>电力生产</c:v>
                </c:pt>
              </c:strCache>
            </c:strRef>
          </c:cat>
          <c:val>
            <c:numRef>
              <c:f>Sheet3!$D$2:$K$2</c:f>
              <c:numCache>
                <c:formatCode>0.00E+00</c:formatCode>
                <c:ptCount val="8"/>
                <c:pt idx="0">
                  <c:v>5.3</c:v>
                </c:pt>
                <c:pt idx="1">
                  <c:v>2.3099999999999987</c:v>
                </c:pt>
                <c:pt idx="2">
                  <c:v>3.4699999999999998</c:v>
                </c:pt>
                <c:pt idx="3">
                  <c:v>2.9699999999999998</c:v>
                </c:pt>
                <c:pt idx="4">
                  <c:v>0.70500000000000063</c:v>
                </c:pt>
                <c:pt idx="5">
                  <c:v>0.14500000000000016</c:v>
                </c:pt>
                <c:pt idx="6">
                  <c:v>70.900000000000006</c:v>
                </c:pt>
                <c:pt idx="7">
                  <c:v>14.2</c:v>
                </c:pt>
              </c:numCache>
            </c:numRef>
          </c:val>
        </c:ser>
        <c:gapWidth val="219"/>
        <c:overlap val="-27"/>
        <c:axId val="250455936"/>
        <c:axId val="250457472"/>
      </c:barChart>
      <c:catAx>
        <c:axId val="2504559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250457472"/>
        <c:crosses val="autoZero"/>
        <c:auto val="1"/>
        <c:lblAlgn val="ctr"/>
        <c:lblOffset val="100"/>
      </c:catAx>
      <c:valAx>
        <c:axId val="250457472"/>
        <c:scaling>
          <c:orientation val="minMax"/>
        </c:scaling>
        <c:axPos val="l"/>
        <c:numFmt formatCode="0.00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250455936"/>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spPr>
            <a:solidFill>
              <a:schemeClr val="accent1"/>
            </a:solidFill>
            <a:ln>
              <a:noFill/>
            </a:ln>
            <a:effectLst/>
          </c:spPr>
          <c:cat>
            <c:strRef>
              <c:f>Sheet3!$A$3:$A$19</c:f>
              <c:strCache>
                <c:ptCount val="17"/>
                <c:pt idx="0">
                  <c:v>全球变暖</c:v>
                </c:pt>
                <c:pt idx="1">
                  <c:v>水资源消耗</c:v>
                </c:pt>
                <c:pt idx="2">
                  <c:v>颗粒物形成</c:v>
                </c:pt>
                <c:pt idx="3">
                  <c:v>人体毒性-致癌损害</c:v>
                </c:pt>
                <c:pt idx="4">
                  <c:v>化石能源耗竭</c:v>
                </c:pt>
                <c:pt idx="5">
                  <c:v>人体毒性-非致癌损害</c:v>
                </c:pt>
                <c:pt idx="6">
                  <c:v>陆地生态系统酸化</c:v>
                </c:pt>
                <c:pt idx="7">
                  <c:v>臭氧形成</c:v>
                </c:pt>
                <c:pt idx="8">
                  <c:v>土地使用</c:v>
                </c:pt>
                <c:pt idx="9">
                  <c:v>淡水生态系统富营养化</c:v>
                </c:pt>
                <c:pt idx="10">
                  <c:v>陆地生态系统毒性</c:v>
                </c:pt>
                <c:pt idx="11">
                  <c:v>电离辐射</c:v>
                </c:pt>
                <c:pt idx="12">
                  <c:v>平流层臭氧消耗</c:v>
                </c:pt>
                <c:pt idx="13">
                  <c:v>淡水生态系统毒性</c:v>
                </c:pt>
                <c:pt idx="14">
                  <c:v>矿产资源耗竭</c:v>
                </c:pt>
                <c:pt idx="15">
                  <c:v>海洋生态系统毒性</c:v>
                </c:pt>
                <c:pt idx="16">
                  <c:v>海洋富营养化</c:v>
                </c:pt>
              </c:strCache>
            </c:strRef>
          </c:cat>
          <c:val>
            <c:numRef>
              <c:f>Sheet3!$C$3:$C$19</c:f>
              <c:numCache>
                <c:formatCode>0.00E+00</c:formatCode>
                <c:ptCount val="17"/>
                <c:pt idx="0">
                  <c:v>38.498304764740155</c:v>
                </c:pt>
                <c:pt idx="1">
                  <c:v>31.079649013401642</c:v>
                </c:pt>
                <c:pt idx="2">
                  <c:v>26.08394620586223</c:v>
                </c:pt>
                <c:pt idx="3">
                  <c:v>1.1387204976662755</c:v>
                </c:pt>
                <c:pt idx="4">
                  <c:v>1.1182844953754398</c:v>
                </c:pt>
                <c:pt idx="5">
                  <c:v>0.89191822564842671</c:v>
                </c:pt>
                <c:pt idx="6">
                  <c:v>0.81144825073703752</c:v>
                </c:pt>
                <c:pt idx="7">
                  <c:v>0.19041114895765673</c:v>
                </c:pt>
                <c:pt idx="8">
                  <c:v>0.10434621422505116</c:v>
                </c:pt>
                <c:pt idx="9">
                  <c:v>4.8182687569547099E-2</c:v>
                </c:pt>
                <c:pt idx="10">
                  <c:v>1.428273436788958E-2</c:v>
                </c:pt>
                <c:pt idx="11">
                  <c:v>9.6158420221797089E-3</c:v>
                </c:pt>
                <c:pt idx="12">
                  <c:v>5.8913703833541591E-3</c:v>
                </c:pt>
                <c:pt idx="13">
                  <c:v>2.5974604787939292E-3</c:v>
                </c:pt>
                <c:pt idx="14">
                  <c:v>1.7797364707959381E-3</c:v>
                </c:pt>
                <c:pt idx="15">
                  <c:v>6.0863056821289349E-4</c:v>
                </c:pt>
                <c:pt idx="16">
                  <c:v>1.2721525243900567E-5</c:v>
                </c:pt>
              </c:numCache>
            </c:numRef>
          </c:val>
        </c:ser>
        <c:gapWidth val="219"/>
        <c:overlap val="-27"/>
        <c:axId val="250493184"/>
        <c:axId val="250503168"/>
      </c:barChart>
      <c:catAx>
        <c:axId val="2504931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50503168"/>
        <c:crosses val="autoZero"/>
        <c:auto val="1"/>
        <c:lblAlgn val="ctr"/>
        <c:lblOffset val="100"/>
      </c:catAx>
      <c:valAx>
        <c:axId val="250503168"/>
        <c:scaling>
          <c:orientation val="minMax"/>
        </c:scaling>
        <c:axPos val="l"/>
        <c:numFmt formatCode="0.00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50493184"/>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spPr>
            <a:solidFill>
              <a:schemeClr val="accent1"/>
            </a:solidFill>
            <a:ln>
              <a:noFill/>
            </a:ln>
            <a:effectLst/>
          </c:spPr>
          <c:cat>
            <c:strRef>
              <c:f>Sheet3!$D$1:$I$1</c:f>
              <c:strCache>
                <c:ptCount val="6"/>
                <c:pt idx="0">
                  <c:v>硅藻泥生产</c:v>
                </c:pt>
                <c:pt idx="1">
                  <c:v>硅藻土开采</c:v>
                </c:pt>
                <c:pt idx="2">
                  <c:v>灰钙生产</c:v>
                </c:pt>
                <c:pt idx="3">
                  <c:v>重钙生产</c:v>
                </c:pt>
                <c:pt idx="4">
                  <c:v>原料运输</c:v>
                </c:pt>
                <c:pt idx="5">
                  <c:v>电力生产</c:v>
                </c:pt>
              </c:strCache>
            </c:strRef>
          </c:cat>
          <c:val>
            <c:numRef>
              <c:f>Sheet3!$D$2:$I$2</c:f>
              <c:numCache>
                <c:formatCode>0.00E+00</c:formatCode>
                <c:ptCount val="6"/>
                <c:pt idx="0">
                  <c:v>4.0993481479045299E-5</c:v>
                </c:pt>
                <c:pt idx="1">
                  <c:v>5.2478764991802906</c:v>
                </c:pt>
                <c:pt idx="2">
                  <c:v>14.335097009067159</c:v>
                </c:pt>
                <c:pt idx="3">
                  <c:v>14.965686462620569</c:v>
                </c:pt>
                <c:pt idx="4">
                  <c:v>14.099728735179088</c:v>
                </c:pt>
                <c:pt idx="5">
                  <c:v>51.351570300471437</c:v>
                </c:pt>
              </c:numCache>
            </c:numRef>
          </c:val>
        </c:ser>
        <c:gapWidth val="219"/>
        <c:overlap val="-27"/>
        <c:axId val="251537664"/>
        <c:axId val="251555840"/>
      </c:barChart>
      <c:catAx>
        <c:axId val="2515376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251555840"/>
        <c:crosses val="autoZero"/>
        <c:auto val="1"/>
        <c:lblAlgn val="ctr"/>
        <c:lblOffset val="100"/>
      </c:catAx>
      <c:valAx>
        <c:axId val="251555840"/>
        <c:scaling>
          <c:orientation val="minMax"/>
        </c:scaling>
        <c:axPos val="l"/>
        <c:numFmt formatCode="0.00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251537664"/>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spPr>
            <a:solidFill>
              <a:schemeClr val="accent1"/>
            </a:solidFill>
            <a:ln>
              <a:noFill/>
            </a:ln>
            <a:effectLst/>
          </c:spPr>
          <c:cat>
            <c:strRef>
              <c:f>Sheet2!$A$3:$A$19</c:f>
              <c:strCache>
                <c:ptCount val="17"/>
                <c:pt idx="0">
                  <c:v>颗粒物形成</c:v>
                </c:pt>
                <c:pt idx="1">
                  <c:v>全球变暖</c:v>
                </c:pt>
                <c:pt idx="2">
                  <c:v>水资源消耗</c:v>
                </c:pt>
                <c:pt idx="3">
                  <c:v>人体毒性-非致癌损害</c:v>
                </c:pt>
                <c:pt idx="4">
                  <c:v>人体毒性-致癌损害</c:v>
                </c:pt>
                <c:pt idx="5">
                  <c:v>土地使用</c:v>
                </c:pt>
                <c:pt idx="6">
                  <c:v>陆地生态系统酸化</c:v>
                </c:pt>
                <c:pt idx="7">
                  <c:v>化石能源耗竭</c:v>
                </c:pt>
                <c:pt idx="8">
                  <c:v>臭氧形成</c:v>
                </c:pt>
                <c:pt idx="9">
                  <c:v>淡水生态系统富营养化</c:v>
                </c:pt>
                <c:pt idx="10">
                  <c:v>矿产资源耗竭</c:v>
                </c:pt>
                <c:pt idx="11">
                  <c:v>淡水生态系统毒性</c:v>
                </c:pt>
                <c:pt idx="12">
                  <c:v>陆地生态系统毒性</c:v>
                </c:pt>
                <c:pt idx="13">
                  <c:v>电离辐射</c:v>
                </c:pt>
                <c:pt idx="14">
                  <c:v>平流层臭氧消耗</c:v>
                </c:pt>
                <c:pt idx="15">
                  <c:v>海洋生态系统毒性</c:v>
                </c:pt>
                <c:pt idx="16">
                  <c:v>海洋富营养化</c:v>
                </c:pt>
              </c:strCache>
            </c:strRef>
          </c:cat>
          <c:val>
            <c:numRef>
              <c:f>Sheet2!$C$3:$C$19</c:f>
              <c:numCache>
                <c:formatCode>0.00E+00</c:formatCode>
                <c:ptCount val="17"/>
                <c:pt idx="0">
                  <c:v>48.032671062718094</c:v>
                </c:pt>
                <c:pt idx="1">
                  <c:v>32.552965730397737</c:v>
                </c:pt>
                <c:pt idx="2">
                  <c:v>5.5591598732213212</c:v>
                </c:pt>
                <c:pt idx="3">
                  <c:v>5.5231000630025555</c:v>
                </c:pt>
                <c:pt idx="4">
                  <c:v>3.5370453928462386</c:v>
                </c:pt>
                <c:pt idx="5">
                  <c:v>1.3769479463163095</c:v>
                </c:pt>
                <c:pt idx="6">
                  <c:v>1.2207031914255611</c:v>
                </c:pt>
                <c:pt idx="7">
                  <c:v>1.0101959956947151</c:v>
                </c:pt>
                <c:pt idx="8">
                  <c:v>0.76962989265175286</c:v>
                </c:pt>
                <c:pt idx="9">
                  <c:v>0.21827478985777987</c:v>
                </c:pt>
                <c:pt idx="10">
                  <c:v>0.13537578887433471</c:v>
                </c:pt>
                <c:pt idx="11">
                  <c:v>2.18509838983778E-2</c:v>
                </c:pt>
                <c:pt idx="12">
                  <c:v>2.1660285463101291E-2</c:v>
                </c:pt>
                <c:pt idx="13">
                  <c:v>8.8748217558721684E-3</c:v>
                </c:pt>
                <c:pt idx="14">
                  <c:v>6.8508638350440274E-3</c:v>
                </c:pt>
                <c:pt idx="15">
                  <c:v>4.6258753494094655E-3</c:v>
                </c:pt>
                <c:pt idx="16">
                  <c:v>6.744269174548134E-5</c:v>
                </c:pt>
              </c:numCache>
            </c:numRef>
          </c:val>
        </c:ser>
        <c:gapWidth val="219"/>
        <c:overlap val="-27"/>
        <c:axId val="251579008"/>
        <c:axId val="251601280"/>
      </c:barChart>
      <c:catAx>
        <c:axId val="2515790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251601280"/>
        <c:crosses val="autoZero"/>
        <c:auto val="1"/>
        <c:lblAlgn val="ctr"/>
        <c:lblOffset val="100"/>
      </c:catAx>
      <c:valAx>
        <c:axId val="251601280"/>
        <c:scaling>
          <c:orientation val="minMax"/>
        </c:scaling>
        <c:axPos val="l"/>
        <c:numFmt formatCode="0.00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251579008"/>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spPr>
            <a:solidFill>
              <a:schemeClr val="accent1"/>
            </a:solidFill>
            <a:ln>
              <a:noFill/>
            </a:ln>
            <a:effectLst/>
          </c:spPr>
          <c:cat>
            <c:strRef>
              <c:f>Sheet2!$D$1:$L$1</c:f>
              <c:strCache>
                <c:ptCount val="9"/>
                <c:pt idx="0">
                  <c:v>硅藻泥生产</c:v>
                </c:pt>
                <c:pt idx="1">
                  <c:v>硅藻土开采</c:v>
                </c:pt>
                <c:pt idx="2">
                  <c:v>白云石开采</c:v>
                </c:pt>
                <c:pt idx="3">
                  <c:v>钛白粉生产</c:v>
                </c:pt>
                <c:pt idx="4">
                  <c:v>滑石粉生产</c:v>
                </c:pt>
                <c:pt idx="5">
                  <c:v>氢氧化钙生产</c:v>
                </c:pt>
                <c:pt idx="6">
                  <c:v>柴油生产</c:v>
                </c:pt>
                <c:pt idx="7">
                  <c:v>原料运输</c:v>
                </c:pt>
                <c:pt idx="8">
                  <c:v>电力生产</c:v>
                </c:pt>
              </c:strCache>
            </c:strRef>
          </c:cat>
          <c:val>
            <c:numRef>
              <c:f>Sheet2!$D$2:$L$2</c:f>
              <c:numCache>
                <c:formatCode>0.00E+00</c:formatCode>
                <c:ptCount val="9"/>
                <c:pt idx="0">
                  <c:v>5.6916708309808905</c:v>
                </c:pt>
                <c:pt idx="1">
                  <c:v>1.7748671024412721</c:v>
                </c:pt>
                <c:pt idx="2">
                  <c:v>0.62728356360715076</c:v>
                </c:pt>
                <c:pt idx="3">
                  <c:v>61.609350608602284</c:v>
                </c:pt>
                <c:pt idx="4">
                  <c:v>24.967953692022025</c:v>
                </c:pt>
                <c:pt idx="5">
                  <c:v>1.0773835895834001</c:v>
                </c:pt>
                <c:pt idx="6">
                  <c:v>0.49181096129173596</c:v>
                </c:pt>
                <c:pt idx="7">
                  <c:v>3.7496864780601542</c:v>
                </c:pt>
                <c:pt idx="8">
                  <c:v>9.9931734110599701E-3</c:v>
                </c:pt>
              </c:numCache>
            </c:numRef>
          </c:val>
        </c:ser>
        <c:gapWidth val="219"/>
        <c:overlap val="-27"/>
        <c:axId val="251644928"/>
        <c:axId val="251650816"/>
      </c:barChart>
      <c:catAx>
        <c:axId val="2516449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251650816"/>
        <c:crosses val="autoZero"/>
        <c:auto val="1"/>
        <c:lblAlgn val="ctr"/>
        <c:lblOffset val="100"/>
      </c:catAx>
      <c:valAx>
        <c:axId val="251650816"/>
        <c:scaling>
          <c:orientation val="minMax"/>
        </c:scaling>
        <c:axPos val="l"/>
        <c:numFmt formatCode="0.00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251644928"/>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BB897-DAAD-4DBE-98BF-3459EDDAB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12116</TotalTime>
  <Pages>27</Pages>
  <Words>2484</Words>
  <Characters>14164</Characters>
  <Application>Microsoft Office Word</Application>
  <DocSecurity>0</DocSecurity>
  <Lines>118</Lines>
  <Paragraphs>33</Paragraphs>
  <ScaleCrop>false</ScaleCrop>
  <Company/>
  <LinksUpToDate>false</LinksUpToDate>
  <CharactersWithSpaces>16615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杜安梅</dc:creator>
  <cp:lastModifiedBy>Administrator</cp:lastModifiedBy>
  <cp:revision>5</cp:revision>
  <dcterms:created xsi:type="dcterms:W3CDTF">2017-04-19T11:29:00Z</dcterms:created>
  <dcterms:modified xsi:type="dcterms:W3CDTF">2020-07-24T07:53:00Z</dcterms:modified>
</cp:coreProperties>
</file>