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05" w:rsidRDefault="00FE3E05" w:rsidP="00FE3E05">
      <w:pPr>
        <w:spacing w:line="640" w:lineRule="exact"/>
        <w:rPr>
          <w:rFonts w:ascii="仿宋_GB2312" w:eastAsia="仿宋_GB2312" w:hAnsi="宋体" w:hint="eastAsia"/>
          <w:b/>
          <w:color w:val="000000"/>
          <w:sz w:val="32"/>
          <w:szCs w:val="32"/>
        </w:rPr>
      </w:pPr>
      <w:r>
        <w:rPr>
          <w:rFonts w:ascii="仿宋_GB2312" w:eastAsia="仿宋_GB2312" w:hAnsi="宋体" w:hint="eastAsia"/>
          <w:b/>
          <w:color w:val="000000"/>
          <w:sz w:val="32"/>
          <w:szCs w:val="32"/>
        </w:rPr>
        <w:t>附件1：</w:t>
      </w:r>
    </w:p>
    <w:p w:rsidR="00FE3E05" w:rsidRPr="0028418F" w:rsidRDefault="00FE3E05" w:rsidP="00FE3E05">
      <w:pPr>
        <w:spacing w:line="640" w:lineRule="exact"/>
        <w:ind w:firstLineChars="200" w:firstLine="643"/>
        <w:jc w:val="center"/>
        <w:rPr>
          <w:rFonts w:ascii="仿宋_GB2312" w:eastAsia="仿宋_GB2312" w:hAnsi="宋体" w:hint="eastAsia"/>
          <w:b/>
          <w:color w:val="000000"/>
          <w:sz w:val="32"/>
          <w:szCs w:val="32"/>
        </w:rPr>
      </w:pPr>
      <w:bookmarkStart w:id="0" w:name="_GoBack"/>
      <w:r w:rsidRPr="0028418F">
        <w:rPr>
          <w:rFonts w:ascii="仿宋_GB2312" w:eastAsia="仿宋_GB2312" w:hAnsi="宋体" w:hint="eastAsia"/>
          <w:b/>
          <w:color w:val="000000"/>
          <w:sz w:val="32"/>
          <w:szCs w:val="32"/>
        </w:rPr>
        <w:t>水泥行业2017年节能减排达标</w:t>
      </w:r>
      <w:r>
        <w:rPr>
          <w:rFonts w:ascii="仿宋_GB2312" w:eastAsia="仿宋_GB2312" w:hAnsi="宋体" w:hint="eastAsia"/>
          <w:b/>
          <w:color w:val="000000"/>
          <w:sz w:val="32"/>
          <w:szCs w:val="32"/>
        </w:rPr>
        <w:t>目标和达标企业名单</w:t>
      </w:r>
    </w:p>
    <w:bookmarkEnd w:id="0"/>
    <w:p w:rsidR="00FE3E05" w:rsidRDefault="00FE3E05" w:rsidP="00FE3E05">
      <w:pPr>
        <w:spacing w:line="640" w:lineRule="exact"/>
        <w:ind w:firstLineChars="200" w:firstLine="664"/>
        <w:jc w:val="center"/>
        <w:rPr>
          <w:rFonts w:ascii="仿宋_GB2312" w:eastAsia="仿宋_GB2312" w:hAnsi="宋体" w:hint="eastAsia"/>
          <w:color w:val="000000"/>
          <w:spacing w:val="6"/>
          <w:sz w:val="32"/>
          <w:szCs w:val="32"/>
        </w:rPr>
      </w:pPr>
      <w:r w:rsidRPr="00944D1F">
        <w:rPr>
          <w:rFonts w:ascii="仿宋_GB2312" w:eastAsia="仿宋_GB2312" w:hAnsi="宋体" w:hint="eastAsia"/>
          <w:color w:val="000000"/>
          <w:spacing w:val="6"/>
          <w:sz w:val="32"/>
          <w:szCs w:val="32"/>
        </w:rPr>
        <w:t>中国</w:t>
      </w:r>
      <w:r>
        <w:rPr>
          <w:rFonts w:ascii="仿宋_GB2312" w:eastAsia="仿宋_GB2312" w:hAnsi="宋体" w:hint="eastAsia"/>
          <w:color w:val="000000"/>
          <w:spacing w:val="6"/>
          <w:sz w:val="32"/>
          <w:szCs w:val="32"/>
        </w:rPr>
        <w:t>水泥</w:t>
      </w:r>
      <w:r w:rsidRPr="00944D1F">
        <w:rPr>
          <w:rFonts w:ascii="仿宋_GB2312" w:eastAsia="仿宋_GB2312" w:hAnsi="宋体" w:hint="eastAsia"/>
          <w:color w:val="000000"/>
          <w:spacing w:val="6"/>
          <w:sz w:val="32"/>
          <w:szCs w:val="32"/>
        </w:rPr>
        <w:t>协会</w:t>
      </w:r>
    </w:p>
    <w:p w:rsidR="00FE3E05" w:rsidRDefault="00FE3E05" w:rsidP="00FE3E05">
      <w:pPr>
        <w:spacing w:line="640" w:lineRule="exact"/>
        <w:ind w:firstLineChars="200" w:firstLine="664"/>
        <w:rPr>
          <w:rFonts w:ascii="仿宋_GB2312" w:eastAsia="仿宋_GB2312" w:hAnsi="宋体" w:hint="eastAsia"/>
          <w:color w:val="000000"/>
          <w:spacing w:val="6"/>
          <w:sz w:val="32"/>
          <w:szCs w:val="32"/>
        </w:rPr>
      </w:pP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加强生态文明建设、实现绿色低碳和文明生产是党中央、国务院从实现现代化强国的战略高度</w:t>
      </w:r>
      <w:proofErr w:type="gramStart"/>
      <w:r w:rsidRPr="00D329EB">
        <w:rPr>
          <w:rFonts w:ascii="仿宋_GB2312" w:eastAsia="仿宋_GB2312" w:hAnsi="宋体" w:hint="eastAsia"/>
          <w:color w:val="000000"/>
          <w:spacing w:val="6"/>
          <w:sz w:val="32"/>
          <w:szCs w:val="32"/>
        </w:rPr>
        <w:t>作出</w:t>
      </w:r>
      <w:proofErr w:type="gramEnd"/>
      <w:r w:rsidRPr="00D329EB">
        <w:rPr>
          <w:rFonts w:ascii="仿宋_GB2312" w:eastAsia="仿宋_GB2312" w:hAnsi="宋体" w:hint="eastAsia"/>
          <w:color w:val="000000"/>
          <w:spacing w:val="6"/>
          <w:sz w:val="32"/>
          <w:szCs w:val="32"/>
        </w:rPr>
        <w:t>的重大决策部署。推进建材行业节能减排是实现生态文明建设的重要内容和实际举措，也是实施“创新提升、超越引领”发展战略的重要内容。为贯彻全国水泥玻璃陶瓷产业全面推进节能减排达标工作大会精神，根据联合会《关于编制“十三五”节能减排达标工作计划和实施方案的通知》的要求，结合联合会对2017年相关重点工作要求，中国水泥协会积极组织安排专门力量编制、广泛动员行业参与、通过向行业大企业吹风和咨询专家、深入调研的基础上完成了《水泥工业“十三五”节能减排达标工作计划和实施方案》的编制工作，对水泥工业“十三五”节能减</w:t>
      </w:r>
      <w:proofErr w:type="gramStart"/>
      <w:r w:rsidRPr="00D329EB">
        <w:rPr>
          <w:rFonts w:ascii="仿宋_GB2312" w:eastAsia="仿宋_GB2312" w:hAnsi="宋体" w:hint="eastAsia"/>
          <w:color w:val="000000"/>
          <w:spacing w:val="6"/>
          <w:sz w:val="32"/>
          <w:szCs w:val="32"/>
        </w:rPr>
        <w:t>排工作</w:t>
      </w:r>
      <w:proofErr w:type="gramEnd"/>
      <w:r w:rsidRPr="00D329EB">
        <w:rPr>
          <w:rFonts w:ascii="仿宋_GB2312" w:eastAsia="仿宋_GB2312" w:hAnsi="宋体" w:hint="eastAsia"/>
          <w:color w:val="000000"/>
          <w:spacing w:val="6"/>
          <w:sz w:val="32"/>
          <w:szCs w:val="32"/>
        </w:rPr>
        <w:t>做出了顶层设计，为水泥工业节能</w:t>
      </w:r>
      <w:proofErr w:type="gramStart"/>
      <w:r w:rsidRPr="00D329EB">
        <w:rPr>
          <w:rFonts w:ascii="仿宋_GB2312" w:eastAsia="仿宋_GB2312" w:hAnsi="宋体" w:hint="eastAsia"/>
          <w:color w:val="000000"/>
          <w:spacing w:val="6"/>
          <w:sz w:val="32"/>
          <w:szCs w:val="32"/>
        </w:rPr>
        <w:t>减排这一项</w:t>
      </w:r>
      <w:proofErr w:type="gramEnd"/>
      <w:r w:rsidRPr="00D329EB">
        <w:rPr>
          <w:rFonts w:ascii="仿宋_GB2312" w:eastAsia="仿宋_GB2312" w:hAnsi="宋体" w:hint="eastAsia"/>
          <w:color w:val="000000"/>
          <w:spacing w:val="6"/>
          <w:sz w:val="32"/>
          <w:szCs w:val="32"/>
        </w:rPr>
        <w:t>系统的、长期的艰巨任务进行了制度和分年的工作安排，确保节能减</w:t>
      </w:r>
      <w:proofErr w:type="gramStart"/>
      <w:r w:rsidRPr="00D329EB">
        <w:rPr>
          <w:rFonts w:ascii="仿宋_GB2312" w:eastAsia="仿宋_GB2312" w:hAnsi="宋体" w:hint="eastAsia"/>
          <w:color w:val="000000"/>
          <w:spacing w:val="6"/>
          <w:sz w:val="32"/>
          <w:szCs w:val="32"/>
        </w:rPr>
        <w:t>排工作</w:t>
      </w:r>
      <w:proofErr w:type="gramEnd"/>
      <w:r w:rsidRPr="00D329EB">
        <w:rPr>
          <w:rFonts w:ascii="仿宋_GB2312" w:eastAsia="仿宋_GB2312" w:hAnsi="宋体" w:hint="eastAsia"/>
          <w:color w:val="000000"/>
          <w:spacing w:val="6"/>
          <w:sz w:val="32"/>
          <w:szCs w:val="32"/>
        </w:rPr>
        <w:t>有步骤地、长期地、持之以恒地抓下去。</w:t>
      </w: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2017年的达标目标、达标企业名单和措施如下。</w:t>
      </w:r>
    </w:p>
    <w:p w:rsidR="00FE3E05" w:rsidRPr="00150BD4" w:rsidRDefault="00FE3E05" w:rsidP="00FE3E05">
      <w:pPr>
        <w:spacing w:line="640" w:lineRule="exact"/>
        <w:ind w:firstLineChars="200" w:firstLine="667"/>
        <w:rPr>
          <w:rFonts w:ascii="仿宋_GB2312" w:eastAsia="仿宋_GB2312" w:hAnsi="宋体" w:hint="eastAsia"/>
          <w:b/>
          <w:color w:val="000000"/>
          <w:spacing w:val="6"/>
          <w:sz w:val="32"/>
          <w:szCs w:val="32"/>
        </w:rPr>
      </w:pPr>
      <w:r w:rsidRPr="00150BD4">
        <w:rPr>
          <w:rFonts w:ascii="仿宋_GB2312" w:eastAsia="仿宋_GB2312" w:hAnsi="宋体" w:hint="eastAsia"/>
          <w:b/>
          <w:color w:val="000000"/>
          <w:spacing w:val="6"/>
          <w:sz w:val="32"/>
          <w:szCs w:val="32"/>
        </w:rPr>
        <w:t>一、年度达标计划</w:t>
      </w:r>
      <w:r>
        <w:rPr>
          <w:rFonts w:ascii="仿宋_GB2312" w:eastAsia="仿宋_GB2312" w:hAnsi="宋体" w:hint="eastAsia"/>
          <w:b/>
          <w:color w:val="000000"/>
          <w:spacing w:val="6"/>
          <w:sz w:val="32"/>
          <w:szCs w:val="32"/>
        </w:rPr>
        <w:t>、目标</w:t>
      </w: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lastRenderedPageBreak/>
        <w:t>2017年，率先达标企业生产线全部达标，使水泥工业达标比例达到75%；2018年在产生产线达标比例80%；2020年，水泥行业节能减</w:t>
      </w:r>
      <w:proofErr w:type="gramStart"/>
      <w:r w:rsidRPr="00D329EB">
        <w:rPr>
          <w:rFonts w:ascii="仿宋_GB2312" w:eastAsia="仿宋_GB2312" w:hAnsi="宋体" w:hint="eastAsia"/>
          <w:color w:val="000000"/>
          <w:spacing w:val="6"/>
          <w:sz w:val="32"/>
          <w:szCs w:val="32"/>
        </w:rPr>
        <w:t>排全面</w:t>
      </w:r>
      <w:proofErr w:type="gramEnd"/>
      <w:r w:rsidRPr="00D329EB">
        <w:rPr>
          <w:rFonts w:ascii="仿宋_GB2312" w:eastAsia="仿宋_GB2312" w:hAnsi="宋体" w:hint="eastAsia"/>
          <w:color w:val="000000"/>
          <w:spacing w:val="6"/>
          <w:sz w:val="32"/>
          <w:szCs w:val="32"/>
        </w:rPr>
        <w:t>达标，其中达到国际领先水平的生产线比例达到60%。</w:t>
      </w:r>
    </w:p>
    <w:p w:rsidR="00FE3E05" w:rsidRDefault="00FE3E05" w:rsidP="00FE3E05">
      <w:pPr>
        <w:spacing w:line="360" w:lineRule="auto"/>
        <w:ind w:firstLineChars="200" w:firstLine="560"/>
        <w:jc w:val="center"/>
        <w:rPr>
          <w:rFonts w:ascii="仿宋_GB2312" w:eastAsia="仿宋_GB2312" w:hAnsi="Times New Roman" w:hint="eastAsia"/>
          <w:color w:val="000000"/>
          <w:sz w:val="28"/>
          <w:szCs w:val="28"/>
        </w:rPr>
      </w:pPr>
    </w:p>
    <w:p w:rsidR="00FE3E05" w:rsidRPr="00150BD4" w:rsidRDefault="00FE3E05" w:rsidP="00FE3E05">
      <w:pPr>
        <w:spacing w:line="360" w:lineRule="auto"/>
        <w:ind w:firstLineChars="200" w:firstLine="560"/>
        <w:jc w:val="center"/>
        <w:rPr>
          <w:rFonts w:ascii="仿宋_GB2312" w:eastAsia="仿宋_GB2312" w:hAnsi="Times New Roman" w:hint="eastAsia"/>
          <w:color w:val="000000"/>
          <w:sz w:val="28"/>
          <w:szCs w:val="28"/>
        </w:rPr>
      </w:pPr>
      <w:r w:rsidRPr="00150BD4">
        <w:rPr>
          <w:rFonts w:ascii="仿宋_GB2312" w:eastAsia="仿宋_GB2312" w:hAnsi="Times New Roman" w:hint="eastAsia"/>
          <w:color w:val="000000"/>
          <w:sz w:val="28"/>
          <w:szCs w:val="28"/>
        </w:rPr>
        <w:t>2017～2020年度节能减排达标进度</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18"/>
        <w:gridCol w:w="992"/>
        <w:gridCol w:w="1418"/>
        <w:gridCol w:w="1275"/>
        <w:gridCol w:w="1153"/>
        <w:gridCol w:w="1275"/>
      </w:tblGrid>
      <w:tr w:rsidR="00FE3E05" w:rsidRPr="00ED515F" w:rsidTr="00742FC6">
        <w:tc>
          <w:tcPr>
            <w:tcW w:w="22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指标</w:t>
            </w:r>
          </w:p>
        </w:tc>
        <w:tc>
          <w:tcPr>
            <w:tcW w:w="992"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单位</w:t>
            </w:r>
          </w:p>
        </w:tc>
        <w:tc>
          <w:tcPr>
            <w:tcW w:w="14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2017</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2018</w:t>
            </w:r>
          </w:p>
        </w:tc>
        <w:tc>
          <w:tcPr>
            <w:tcW w:w="1153"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2019</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2010</w:t>
            </w:r>
          </w:p>
        </w:tc>
      </w:tr>
      <w:tr w:rsidR="00FE3E05" w:rsidRPr="00ED515F" w:rsidTr="00742FC6">
        <w:tc>
          <w:tcPr>
            <w:tcW w:w="2218" w:type="dxa"/>
            <w:shd w:val="clear" w:color="auto" w:fill="FFFFFF"/>
            <w:vAlign w:val="center"/>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熟料产能淘汰量</w:t>
            </w:r>
          </w:p>
        </w:tc>
        <w:tc>
          <w:tcPr>
            <w:tcW w:w="992" w:type="dxa"/>
            <w:shd w:val="clear" w:color="auto" w:fill="FFFFFF"/>
            <w:vAlign w:val="center"/>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亿吨</w:t>
            </w:r>
          </w:p>
        </w:tc>
        <w:tc>
          <w:tcPr>
            <w:tcW w:w="14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0.6</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0.6</w:t>
            </w:r>
          </w:p>
        </w:tc>
        <w:tc>
          <w:tcPr>
            <w:tcW w:w="1153"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0.6</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0.5</w:t>
            </w:r>
          </w:p>
        </w:tc>
      </w:tr>
      <w:tr w:rsidR="00FE3E05" w:rsidRPr="00ED515F" w:rsidTr="00742FC6">
        <w:tc>
          <w:tcPr>
            <w:tcW w:w="22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二氧化碳减排量</w:t>
            </w:r>
          </w:p>
        </w:tc>
        <w:tc>
          <w:tcPr>
            <w:tcW w:w="992"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万吨</w:t>
            </w:r>
          </w:p>
        </w:tc>
        <w:tc>
          <w:tcPr>
            <w:tcW w:w="14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1077</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1077</w:t>
            </w:r>
          </w:p>
        </w:tc>
        <w:tc>
          <w:tcPr>
            <w:tcW w:w="1153"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1077</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1074</w:t>
            </w:r>
          </w:p>
        </w:tc>
      </w:tr>
      <w:tr w:rsidR="00FE3E05" w:rsidRPr="00ED515F" w:rsidTr="00742FC6">
        <w:tc>
          <w:tcPr>
            <w:tcW w:w="22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二氧化硫减排量</w:t>
            </w:r>
          </w:p>
        </w:tc>
        <w:tc>
          <w:tcPr>
            <w:tcW w:w="992"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万吨</w:t>
            </w:r>
          </w:p>
        </w:tc>
        <w:tc>
          <w:tcPr>
            <w:tcW w:w="14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2.76</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2.76</w:t>
            </w:r>
          </w:p>
        </w:tc>
        <w:tc>
          <w:tcPr>
            <w:tcW w:w="1153"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2.76</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2.72</w:t>
            </w:r>
          </w:p>
        </w:tc>
      </w:tr>
      <w:tr w:rsidR="00FE3E05" w:rsidRPr="00ED515F" w:rsidTr="00742FC6">
        <w:tc>
          <w:tcPr>
            <w:tcW w:w="22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氮氧化物减排量</w:t>
            </w:r>
          </w:p>
        </w:tc>
        <w:tc>
          <w:tcPr>
            <w:tcW w:w="992"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万吨</w:t>
            </w:r>
          </w:p>
        </w:tc>
        <w:tc>
          <w:tcPr>
            <w:tcW w:w="14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21</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21</w:t>
            </w:r>
          </w:p>
        </w:tc>
        <w:tc>
          <w:tcPr>
            <w:tcW w:w="1153"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21</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19</w:t>
            </w:r>
          </w:p>
        </w:tc>
      </w:tr>
      <w:tr w:rsidR="00FE3E05" w:rsidRPr="00ED515F" w:rsidTr="00742FC6">
        <w:tc>
          <w:tcPr>
            <w:tcW w:w="22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烟粉尘减排量</w:t>
            </w:r>
          </w:p>
        </w:tc>
        <w:tc>
          <w:tcPr>
            <w:tcW w:w="992"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万吨</w:t>
            </w:r>
          </w:p>
        </w:tc>
        <w:tc>
          <w:tcPr>
            <w:tcW w:w="1418"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6.12</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6.12</w:t>
            </w:r>
          </w:p>
        </w:tc>
        <w:tc>
          <w:tcPr>
            <w:tcW w:w="1153"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6.12</w:t>
            </w:r>
          </w:p>
        </w:tc>
        <w:tc>
          <w:tcPr>
            <w:tcW w:w="1275" w:type="dxa"/>
            <w:shd w:val="clear" w:color="auto" w:fill="FFFFFF"/>
          </w:tcPr>
          <w:p w:rsidR="00FE3E05" w:rsidRPr="00EA1781" w:rsidRDefault="00FE3E05" w:rsidP="00742FC6">
            <w:pPr>
              <w:jc w:val="left"/>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6.04</w:t>
            </w:r>
          </w:p>
        </w:tc>
      </w:tr>
    </w:tbl>
    <w:p w:rsidR="00FE3E05" w:rsidRDefault="00FE3E05" w:rsidP="00FE3E05">
      <w:pPr>
        <w:spacing w:line="360" w:lineRule="auto"/>
        <w:ind w:firstLineChars="200" w:firstLine="640"/>
        <w:rPr>
          <w:rFonts w:ascii="Times New Roman" w:hAnsi="Times New Roman"/>
          <w:color w:val="000000"/>
          <w:sz w:val="32"/>
          <w:szCs w:val="32"/>
        </w:rPr>
      </w:pPr>
    </w:p>
    <w:p w:rsidR="00FE3E05" w:rsidRPr="00150BD4" w:rsidRDefault="00FE3E05" w:rsidP="00FE3E05">
      <w:pPr>
        <w:spacing w:line="360" w:lineRule="auto"/>
        <w:ind w:firstLineChars="200" w:firstLine="560"/>
        <w:jc w:val="center"/>
        <w:rPr>
          <w:rFonts w:ascii="仿宋_GB2312" w:eastAsia="仿宋_GB2312" w:hAnsi="Times New Roman" w:hint="eastAsia"/>
          <w:color w:val="000000"/>
          <w:sz w:val="28"/>
          <w:szCs w:val="28"/>
        </w:rPr>
      </w:pPr>
      <w:r w:rsidRPr="00150BD4">
        <w:rPr>
          <w:rFonts w:ascii="仿宋_GB2312" w:eastAsia="仿宋_GB2312" w:hAnsi="Times New Roman" w:hint="eastAsia"/>
          <w:color w:val="000000"/>
          <w:sz w:val="28"/>
          <w:szCs w:val="28"/>
        </w:rPr>
        <w:t>国际先进水泥企业水泥单位产品能耗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26"/>
        <w:gridCol w:w="1326"/>
        <w:gridCol w:w="1330"/>
        <w:gridCol w:w="1330"/>
        <w:gridCol w:w="1264"/>
        <w:gridCol w:w="1331"/>
      </w:tblGrid>
      <w:tr w:rsidR="00FE3E05" w:rsidRPr="00EA1781" w:rsidTr="00742FC6">
        <w:tc>
          <w:tcPr>
            <w:tcW w:w="1941" w:type="dxa"/>
            <w:gridSpan w:val="2"/>
          </w:tcPr>
          <w:p w:rsidR="00FE3E05" w:rsidRPr="00EA1781" w:rsidRDefault="00FE3E05" w:rsidP="00742FC6">
            <w:pPr>
              <w:spacing w:line="360" w:lineRule="auto"/>
              <w:rPr>
                <w:rFonts w:ascii="仿宋_GB2312" w:eastAsia="仿宋_GB2312" w:hAnsi="Times New Roman" w:hint="eastAsia"/>
                <w:color w:val="000000"/>
                <w:sz w:val="24"/>
                <w:szCs w:val="24"/>
              </w:rPr>
            </w:pPr>
          </w:p>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指标</w:t>
            </w:r>
          </w:p>
          <w:p w:rsidR="00FE3E05" w:rsidRPr="00EA1781" w:rsidRDefault="00FE3E05" w:rsidP="00742FC6">
            <w:pPr>
              <w:spacing w:line="360" w:lineRule="auto"/>
              <w:ind w:firstLineChars="100" w:firstLine="240"/>
              <w:rPr>
                <w:rFonts w:ascii="仿宋_GB2312" w:eastAsia="仿宋_GB2312" w:hAnsi="Times New Roman" w:hint="eastAsia"/>
                <w:color w:val="000000"/>
                <w:sz w:val="24"/>
                <w:szCs w:val="24"/>
              </w:rPr>
            </w:pPr>
          </w:p>
        </w:tc>
        <w:tc>
          <w:tcPr>
            <w:tcW w:w="1326"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可比熟料综合标煤耗</w:t>
            </w:r>
            <w:proofErr w:type="spellStart"/>
            <w:r w:rsidRPr="00EA1781">
              <w:rPr>
                <w:rFonts w:ascii="仿宋_GB2312" w:eastAsia="仿宋_GB2312" w:hAnsi="Times New Roman" w:hint="eastAsia"/>
                <w:color w:val="000000"/>
                <w:sz w:val="24"/>
                <w:szCs w:val="24"/>
              </w:rPr>
              <w:t>kgce</w:t>
            </w:r>
            <w:proofErr w:type="spellEnd"/>
            <w:r w:rsidRPr="00EA1781">
              <w:rPr>
                <w:rFonts w:ascii="仿宋_GB2312" w:eastAsia="仿宋_GB2312" w:hAnsi="Times New Roman" w:hint="eastAsia"/>
                <w:color w:val="000000"/>
                <w:sz w:val="24"/>
                <w:szCs w:val="24"/>
              </w:rPr>
              <w:t>/t</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可比熟料综合电耗kWh/t</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可比水泥综合电耗kWh/t</w:t>
            </w:r>
          </w:p>
        </w:tc>
        <w:tc>
          <w:tcPr>
            <w:tcW w:w="1264"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可比熟料综合能耗kg/t</w:t>
            </w:r>
          </w:p>
        </w:tc>
        <w:tc>
          <w:tcPr>
            <w:tcW w:w="1331"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可比水泥综合能耗kWh/t</w:t>
            </w:r>
          </w:p>
        </w:tc>
      </w:tr>
      <w:tr w:rsidR="00FE3E05" w:rsidRPr="00EA1781" w:rsidTr="00742FC6">
        <w:tc>
          <w:tcPr>
            <w:tcW w:w="1941" w:type="dxa"/>
            <w:gridSpan w:val="2"/>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熟料</w:t>
            </w:r>
          </w:p>
        </w:tc>
        <w:tc>
          <w:tcPr>
            <w:tcW w:w="1326"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≤103</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≤56</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264"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≤110</w:t>
            </w:r>
          </w:p>
        </w:tc>
        <w:tc>
          <w:tcPr>
            <w:tcW w:w="1331"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r>
      <w:tr w:rsidR="00FE3E05" w:rsidRPr="00EA1781" w:rsidTr="00742FC6">
        <w:tc>
          <w:tcPr>
            <w:tcW w:w="915" w:type="dxa"/>
            <w:vMerge w:val="restart"/>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水泥</w:t>
            </w:r>
          </w:p>
        </w:tc>
        <w:tc>
          <w:tcPr>
            <w:tcW w:w="1026"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无外购熟料</w:t>
            </w:r>
          </w:p>
        </w:tc>
        <w:tc>
          <w:tcPr>
            <w:tcW w:w="1326"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≤85</w:t>
            </w:r>
          </w:p>
        </w:tc>
        <w:tc>
          <w:tcPr>
            <w:tcW w:w="1264"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331"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≤88</w:t>
            </w:r>
          </w:p>
        </w:tc>
      </w:tr>
      <w:tr w:rsidR="00FE3E05" w:rsidRPr="00EA1781" w:rsidTr="00742FC6">
        <w:tc>
          <w:tcPr>
            <w:tcW w:w="915" w:type="dxa"/>
            <w:vMerge/>
          </w:tcPr>
          <w:p w:rsidR="00FE3E05" w:rsidRPr="00EA1781" w:rsidRDefault="00FE3E05" w:rsidP="00742FC6">
            <w:pPr>
              <w:spacing w:line="360" w:lineRule="auto"/>
              <w:rPr>
                <w:rFonts w:ascii="仿宋_GB2312" w:eastAsia="仿宋_GB2312" w:hAnsi="Times New Roman" w:hint="eastAsia"/>
                <w:color w:val="000000"/>
                <w:sz w:val="24"/>
                <w:szCs w:val="24"/>
              </w:rPr>
            </w:pPr>
          </w:p>
        </w:tc>
        <w:tc>
          <w:tcPr>
            <w:tcW w:w="1026"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外购熟料</w:t>
            </w:r>
          </w:p>
        </w:tc>
        <w:tc>
          <w:tcPr>
            <w:tcW w:w="1326"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330"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≤32</w:t>
            </w:r>
          </w:p>
        </w:tc>
        <w:tc>
          <w:tcPr>
            <w:tcW w:w="1264"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w:t>
            </w:r>
          </w:p>
        </w:tc>
        <w:tc>
          <w:tcPr>
            <w:tcW w:w="1331" w:type="dxa"/>
          </w:tcPr>
          <w:p w:rsidR="00FE3E05" w:rsidRPr="00EA1781" w:rsidRDefault="00FE3E05" w:rsidP="00742FC6">
            <w:pPr>
              <w:spacing w:line="360" w:lineRule="auto"/>
              <w:rPr>
                <w:rFonts w:ascii="仿宋_GB2312" w:eastAsia="仿宋_GB2312" w:hAnsi="Times New Roman" w:hint="eastAsia"/>
                <w:color w:val="000000"/>
                <w:sz w:val="24"/>
                <w:szCs w:val="24"/>
              </w:rPr>
            </w:pPr>
            <w:r w:rsidRPr="00EA1781">
              <w:rPr>
                <w:rFonts w:ascii="仿宋_GB2312" w:eastAsia="仿宋_GB2312" w:hAnsi="Times New Roman" w:hint="eastAsia"/>
                <w:color w:val="000000"/>
                <w:sz w:val="24"/>
                <w:szCs w:val="24"/>
              </w:rPr>
              <w:t>≤7</w:t>
            </w:r>
          </w:p>
        </w:tc>
      </w:tr>
    </w:tbl>
    <w:p w:rsidR="00FE3E05" w:rsidRPr="00EA1781" w:rsidRDefault="00FE3E05" w:rsidP="00FE3E05">
      <w:pPr>
        <w:spacing w:line="640" w:lineRule="exact"/>
        <w:ind w:firstLineChars="200" w:firstLine="504"/>
        <w:rPr>
          <w:rFonts w:ascii="仿宋_GB2312" w:eastAsia="仿宋_GB2312" w:hAnsi="宋体" w:hint="eastAsia"/>
          <w:color w:val="000000"/>
          <w:spacing w:val="6"/>
          <w:sz w:val="24"/>
          <w:szCs w:val="24"/>
        </w:rPr>
      </w:pP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“十三五”期间淘汰落后和压减过剩产能分步目标：</w:t>
      </w: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第一阶段（2015-2017年）实施达到的目标为：到2017年淘汰、压减过剩产能2.3-3.0亿吨，实现全行业产能利</w:t>
      </w:r>
      <w:r w:rsidRPr="00D329EB">
        <w:rPr>
          <w:rFonts w:ascii="仿宋_GB2312" w:eastAsia="仿宋_GB2312" w:hAnsi="宋体" w:hint="eastAsia"/>
          <w:color w:val="000000"/>
          <w:spacing w:val="6"/>
          <w:sz w:val="32"/>
          <w:szCs w:val="32"/>
        </w:rPr>
        <w:lastRenderedPageBreak/>
        <w:t>用率平均达到80%以上，全行业经济效益得到有效改观；</w:t>
      </w:r>
    </w:p>
    <w:p w:rsidR="00FE3E05"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第二阶段（2018-2020年）实施目标为：在第一阶段目标实现的基础上，继续提升全行业产能利用率平均达到85%以上，淘汰和压减熟料产能2300-6000万吨，全行业经济效益显著提高，有效推进行业绿色可持续发展。</w:t>
      </w:r>
    </w:p>
    <w:p w:rsidR="00FE3E05" w:rsidRPr="00364ACD" w:rsidRDefault="00FE3E05" w:rsidP="00FE3E05">
      <w:pPr>
        <w:spacing w:line="640" w:lineRule="exact"/>
        <w:ind w:firstLineChars="200" w:firstLine="667"/>
        <w:rPr>
          <w:rFonts w:ascii="仿宋_GB2312" w:eastAsia="仿宋_GB2312" w:hAnsi="宋体" w:hint="eastAsia"/>
          <w:b/>
          <w:color w:val="000000"/>
          <w:spacing w:val="6"/>
          <w:sz w:val="32"/>
          <w:szCs w:val="32"/>
        </w:rPr>
      </w:pPr>
      <w:r w:rsidRPr="00364ACD">
        <w:rPr>
          <w:rFonts w:ascii="仿宋_GB2312" w:eastAsia="仿宋_GB2312" w:hAnsi="宋体" w:hint="eastAsia"/>
          <w:b/>
          <w:color w:val="000000"/>
          <w:spacing w:val="6"/>
          <w:sz w:val="32"/>
          <w:szCs w:val="32"/>
        </w:rPr>
        <w:t>二、</w:t>
      </w:r>
      <w:r>
        <w:rPr>
          <w:rFonts w:ascii="仿宋_GB2312" w:eastAsia="仿宋_GB2312" w:hAnsi="宋体" w:hint="eastAsia"/>
          <w:b/>
          <w:color w:val="000000"/>
          <w:spacing w:val="6"/>
          <w:sz w:val="32"/>
          <w:szCs w:val="32"/>
        </w:rPr>
        <w:t>2017年</w:t>
      </w:r>
      <w:r w:rsidRPr="00364ACD">
        <w:rPr>
          <w:rFonts w:ascii="仿宋_GB2312" w:eastAsia="仿宋_GB2312" w:hAnsi="宋体" w:hint="eastAsia"/>
          <w:b/>
          <w:color w:val="000000"/>
          <w:spacing w:val="6"/>
          <w:sz w:val="32"/>
          <w:szCs w:val="32"/>
        </w:rPr>
        <w:t>达标企业名单</w:t>
      </w: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依据中国水泥协会统计的水泥企业上市公司综合排名及水泥熟料产能排名情况，提出2017年率先达标企业名单，</w:t>
      </w:r>
      <w:r>
        <w:rPr>
          <w:rFonts w:ascii="仿宋_GB2312" w:eastAsia="仿宋_GB2312" w:hAnsi="宋体" w:hint="eastAsia"/>
          <w:color w:val="000000"/>
          <w:spacing w:val="6"/>
          <w:sz w:val="32"/>
          <w:szCs w:val="32"/>
        </w:rPr>
        <w:t>如下</w:t>
      </w:r>
      <w:r w:rsidRPr="00D329EB">
        <w:rPr>
          <w:rFonts w:ascii="仿宋_GB2312" w:eastAsia="仿宋_GB2312" w:hAnsi="宋体" w:hint="eastAsia"/>
          <w:color w:val="000000"/>
          <w:spacing w:val="6"/>
          <w:sz w:val="32"/>
          <w:szCs w:val="32"/>
        </w:rPr>
        <w:t>所示。</w:t>
      </w:r>
    </w:p>
    <w:p w:rsidR="00FE3E05" w:rsidRPr="00EA1781" w:rsidRDefault="00FE3E05" w:rsidP="00FE3E05">
      <w:pPr>
        <w:spacing w:line="640" w:lineRule="exact"/>
        <w:ind w:firstLineChars="900" w:firstLine="2628"/>
        <w:rPr>
          <w:rFonts w:ascii="仿宋_GB2312" w:eastAsia="仿宋_GB2312" w:hAnsi="宋体" w:hint="eastAsia"/>
          <w:color w:val="000000"/>
          <w:spacing w:val="6"/>
          <w:sz w:val="28"/>
          <w:szCs w:val="28"/>
        </w:rPr>
      </w:pPr>
      <w:r w:rsidRPr="00EA1781">
        <w:rPr>
          <w:rFonts w:ascii="仿宋_GB2312" w:eastAsia="仿宋_GB2312" w:hAnsi="宋体" w:hint="eastAsia"/>
          <w:color w:val="000000"/>
          <w:spacing w:val="6"/>
          <w:sz w:val="28"/>
          <w:szCs w:val="28"/>
        </w:rPr>
        <w:t>2017年</w:t>
      </w:r>
      <w:r>
        <w:rPr>
          <w:rFonts w:ascii="仿宋_GB2312" w:eastAsia="仿宋_GB2312" w:hAnsi="宋体" w:hint="eastAsia"/>
          <w:color w:val="000000"/>
          <w:spacing w:val="6"/>
          <w:sz w:val="28"/>
          <w:szCs w:val="28"/>
        </w:rPr>
        <w:t>水泥行业</w:t>
      </w:r>
      <w:r w:rsidRPr="00EA1781">
        <w:rPr>
          <w:rFonts w:ascii="仿宋_GB2312" w:eastAsia="仿宋_GB2312" w:hAnsi="宋体" w:hint="eastAsia"/>
          <w:color w:val="000000"/>
          <w:spacing w:val="6"/>
          <w:sz w:val="28"/>
          <w:szCs w:val="28"/>
        </w:rPr>
        <w:t>达标企业名单</w:t>
      </w:r>
    </w:p>
    <w:tbl>
      <w:tblPr>
        <w:tblW w:w="8946"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00"/>
        <w:gridCol w:w="7646"/>
      </w:tblGrid>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江西万年青水泥股份有限公司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2</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东方希望集团有限公司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3</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proofErr w:type="gramStart"/>
            <w:r w:rsidRPr="00EA1781">
              <w:rPr>
                <w:rFonts w:ascii="仿宋_GB2312" w:eastAsia="仿宋_GB2312" w:hAnsi="Times New Roman" w:hint="eastAsia"/>
                <w:bCs/>
                <w:color w:val="000000"/>
                <w:kern w:val="0"/>
                <w:sz w:val="24"/>
                <w:szCs w:val="24"/>
              </w:rPr>
              <w:t>金圆水泥</w:t>
            </w:r>
            <w:proofErr w:type="gramEnd"/>
            <w:r w:rsidRPr="00EA1781">
              <w:rPr>
                <w:rFonts w:ascii="仿宋_GB2312" w:eastAsia="仿宋_GB2312" w:hAnsi="Times New Roman" w:hint="eastAsia"/>
                <w:bCs/>
                <w:color w:val="000000"/>
                <w:kern w:val="0"/>
                <w:sz w:val="24"/>
                <w:szCs w:val="24"/>
              </w:rPr>
              <w:t>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4</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福建水泥股份有限公司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5</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上峰水泥股份有限公司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6</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四川峨胜水泥集团股份有限公司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7</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华盛天涯水泥有限公司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8</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湖北京兰水泥集团有限公司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9</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广东塔牌集团股份有限公司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10</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四川星船城水泥股份有限公司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11</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盘固水泥集团有限公司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12</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辽宁大鹰水泥集团公司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13</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陕西声威建材集团有限公司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14</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江苏磊达股份有限公司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15</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惠州市光大水泥企业有限公司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16</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河南安阳湖波水泥有限责任公司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17</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河北曲寨集团有限公司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lastRenderedPageBreak/>
              <w:t>18</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广西鱼峰集团有限公司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19</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安徽珍珠水泥集团股份有限公司</w:t>
            </w:r>
          </w:p>
        </w:tc>
      </w:tr>
      <w:tr w:rsidR="00FE3E05" w:rsidRPr="00EA1781" w:rsidTr="00742FC6">
        <w:trPr>
          <w:trHeight w:val="400"/>
        </w:trPr>
        <w:tc>
          <w:tcPr>
            <w:tcW w:w="1300" w:type="dxa"/>
            <w:shd w:val="clear" w:color="auto" w:fill="auto"/>
            <w:noWrap/>
            <w:vAlign w:val="bottom"/>
          </w:tcPr>
          <w:p w:rsidR="00FE3E05" w:rsidRPr="00EA1781" w:rsidRDefault="00FE3E05" w:rsidP="00742FC6">
            <w:pPr>
              <w:widowControl/>
              <w:jc w:val="center"/>
              <w:rPr>
                <w:rFonts w:ascii="仿宋_GB2312" w:eastAsia="仿宋_GB2312" w:hAnsi="Times New Roman" w:hint="eastAsia"/>
                <w:color w:val="000000"/>
                <w:kern w:val="0"/>
                <w:sz w:val="24"/>
                <w:szCs w:val="24"/>
              </w:rPr>
            </w:pPr>
            <w:r w:rsidRPr="00EA1781">
              <w:rPr>
                <w:rFonts w:ascii="仿宋_GB2312" w:eastAsia="仿宋_GB2312" w:hAnsi="Times New Roman" w:hint="eastAsia"/>
                <w:color w:val="000000"/>
                <w:kern w:val="0"/>
                <w:sz w:val="24"/>
                <w:szCs w:val="24"/>
              </w:rPr>
              <w:t>20</w:t>
            </w:r>
          </w:p>
        </w:tc>
        <w:tc>
          <w:tcPr>
            <w:tcW w:w="7646" w:type="dxa"/>
            <w:shd w:val="clear" w:color="auto" w:fill="auto"/>
            <w:vAlign w:val="center"/>
          </w:tcPr>
          <w:p w:rsidR="00FE3E05" w:rsidRPr="00EA1781" w:rsidRDefault="00FE3E05" w:rsidP="00742FC6">
            <w:pPr>
              <w:widowControl/>
              <w:jc w:val="center"/>
              <w:rPr>
                <w:rFonts w:ascii="仿宋_GB2312" w:eastAsia="仿宋_GB2312" w:hAnsi="Times New Roman" w:hint="eastAsia"/>
                <w:bCs/>
                <w:color w:val="000000"/>
                <w:kern w:val="0"/>
                <w:sz w:val="24"/>
                <w:szCs w:val="24"/>
              </w:rPr>
            </w:pPr>
            <w:r w:rsidRPr="00EA1781">
              <w:rPr>
                <w:rFonts w:ascii="仿宋_GB2312" w:eastAsia="仿宋_GB2312" w:hAnsi="Times New Roman" w:hint="eastAsia"/>
                <w:bCs/>
                <w:color w:val="000000"/>
                <w:kern w:val="0"/>
                <w:sz w:val="24"/>
                <w:szCs w:val="24"/>
              </w:rPr>
              <w:t>福建金牛水泥有限公司</w:t>
            </w:r>
          </w:p>
        </w:tc>
      </w:tr>
    </w:tbl>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p>
    <w:p w:rsidR="00FE3E05" w:rsidRPr="00EA1781" w:rsidRDefault="00FE3E05" w:rsidP="00FE3E05">
      <w:pPr>
        <w:spacing w:line="640" w:lineRule="exact"/>
        <w:ind w:firstLineChars="200" w:firstLine="667"/>
        <w:rPr>
          <w:rFonts w:ascii="仿宋_GB2312" w:eastAsia="仿宋_GB2312" w:hAnsi="宋体" w:hint="eastAsia"/>
          <w:b/>
          <w:color w:val="000000"/>
          <w:spacing w:val="6"/>
          <w:sz w:val="32"/>
          <w:szCs w:val="32"/>
        </w:rPr>
      </w:pPr>
      <w:r w:rsidRPr="00EA1781">
        <w:rPr>
          <w:rFonts w:ascii="仿宋_GB2312" w:eastAsia="仿宋_GB2312" w:hAnsi="宋体" w:hint="eastAsia"/>
          <w:b/>
          <w:color w:val="000000"/>
          <w:spacing w:val="6"/>
          <w:sz w:val="32"/>
          <w:szCs w:val="32"/>
        </w:rPr>
        <w:t>三、节能减排措施</w:t>
      </w:r>
    </w:p>
    <w:p w:rsidR="00FE3E05" w:rsidRDefault="00FE3E05" w:rsidP="00FE3E05">
      <w:pPr>
        <w:spacing w:line="640" w:lineRule="exact"/>
        <w:ind w:firstLineChars="200" w:firstLine="664"/>
        <w:rPr>
          <w:rFonts w:ascii="仿宋_GB2312" w:eastAsia="仿宋_GB2312" w:hAnsi="宋体" w:hint="eastAsia"/>
          <w:color w:val="000000"/>
          <w:spacing w:val="6"/>
          <w:sz w:val="32"/>
          <w:szCs w:val="32"/>
        </w:rPr>
      </w:pPr>
      <w:r>
        <w:rPr>
          <w:rFonts w:ascii="仿宋_GB2312" w:eastAsia="仿宋_GB2312" w:hAnsi="宋体" w:hint="eastAsia"/>
          <w:color w:val="000000"/>
          <w:spacing w:val="6"/>
          <w:sz w:val="32"/>
          <w:szCs w:val="32"/>
        </w:rPr>
        <w:t>1、</w:t>
      </w:r>
      <w:r w:rsidRPr="00D329EB">
        <w:rPr>
          <w:rFonts w:ascii="仿宋_GB2312" w:eastAsia="仿宋_GB2312" w:hAnsi="宋体" w:hint="eastAsia"/>
          <w:color w:val="000000"/>
          <w:spacing w:val="6"/>
          <w:sz w:val="32"/>
          <w:szCs w:val="32"/>
        </w:rPr>
        <w:t>推广</w:t>
      </w:r>
      <w:r>
        <w:rPr>
          <w:rFonts w:ascii="仿宋_GB2312" w:eastAsia="仿宋_GB2312" w:hAnsi="宋体" w:hint="eastAsia"/>
          <w:color w:val="000000"/>
          <w:spacing w:val="6"/>
          <w:sz w:val="32"/>
          <w:szCs w:val="32"/>
        </w:rPr>
        <w:t>先进的</w:t>
      </w:r>
      <w:r w:rsidRPr="00D329EB">
        <w:rPr>
          <w:rFonts w:ascii="仿宋_GB2312" w:eastAsia="仿宋_GB2312" w:hAnsi="宋体" w:hint="eastAsia"/>
          <w:color w:val="000000"/>
          <w:spacing w:val="6"/>
          <w:sz w:val="32"/>
          <w:szCs w:val="32"/>
        </w:rPr>
        <w:t>节能减排工艺技术、生产管理方法</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生料制备：采用</w:t>
      </w:r>
      <w:proofErr w:type="gramStart"/>
      <w:r w:rsidRPr="00D329EB">
        <w:rPr>
          <w:rFonts w:ascii="仿宋_GB2312" w:eastAsia="仿宋_GB2312" w:hAnsi="宋体" w:hint="eastAsia"/>
          <w:color w:val="000000"/>
          <w:spacing w:val="6"/>
          <w:sz w:val="32"/>
          <w:szCs w:val="32"/>
        </w:rPr>
        <w:t>立磨或辊压机终粉</w:t>
      </w:r>
      <w:proofErr w:type="gramEnd"/>
      <w:r w:rsidRPr="00D329EB">
        <w:rPr>
          <w:rFonts w:ascii="仿宋_GB2312" w:eastAsia="仿宋_GB2312" w:hAnsi="宋体" w:hint="eastAsia"/>
          <w:color w:val="000000"/>
          <w:spacing w:val="6"/>
          <w:sz w:val="32"/>
          <w:szCs w:val="32"/>
        </w:rPr>
        <w:t>磨；</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煤粉制备：立磨；</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烧成工艺：五级旋风预热器</w:t>
      </w:r>
      <w:r w:rsidRPr="00D329EB">
        <w:rPr>
          <w:rFonts w:ascii="仿宋_GB2312" w:eastAsia="仿宋_GB2312" w:hAnsi="宋体"/>
          <w:color w:val="000000"/>
          <w:spacing w:val="6"/>
          <w:sz w:val="32"/>
          <w:szCs w:val="32"/>
        </w:rPr>
        <w:t>+</w:t>
      </w:r>
      <w:r w:rsidRPr="00D329EB">
        <w:rPr>
          <w:rFonts w:ascii="仿宋_GB2312" w:eastAsia="仿宋_GB2312" w:hAnsi="宋体" w:hint="eastAsia"/>
          <w:color w:val="000000"/>
          <w:spacing w:val="6"/>
          <w:sz w:val="32"/>
          <w:szCs w:val="32"/>
        </w:rPr>
        <w:t>分解炉；高性能保温隔热材料（</w:t>
      </w:r>
      <w:proofErr w:type="gramStart"/>
      <w:r w:rsidRPr="00D329EB">
        <w:rPr>
          <w:rFonts w:ascii="仿宋_GB2312" w:eastAsia="仿宋_GB2312" w:hAnsi="宋体" w:hint="eastAsia"/>
          <w:color w:val="000000"/>
          <w:spacing w:val="6"/>
          <w:sz w:val="32"/>
          <w:szCs w:val="32"/>
        </w:rPr>
        <w:t>无铬耐火材料</w:t>
      </w:r>
      <w:proofErr w:type="gramEnd"/>
      <w:r w:rsidRPr="00D329EB">
        <w:rPr>
          <w:rFonts w:ascii="仿宋_GB2312" w:eastAsia="仿宋_GB2312" w:hAnsi="宋体" w:hint="eastAsia"/>
          <w:color w:val="000000"/>
          <w:spacing w:val="6"/>
          <w:sz w:val="32"/>
          <w:szCs w:val="32"/>
        </w:rPr>
        <w:t>）；高能效熟料烧成技术（高效窑尾预热器、第四代冷却机、</w:t>
      </w:r>
      <w:proofErr w:type="gramStart"/>
      <w:r w:rsidRPr="00D329EB">
        <w:rPr>
          <w:rFonts w:ascii="仿宋_GB2312" w:eastAsia="仿宋_GB2312" w:hAnsi="宋体" w:hint="eastAsia"/>
          <w:color w:val="000000"/>
          <w:spacing w:val="6"/>
          <w:sz w:val="32"/>
          <w:szCs w:val="32"/>
        </w:rPr>
        <w:t>高效低氮燃烧器</w:t>
      </w:r>
      <w:proofErr w:type="gramEnd"/>
      <w:r w:rsidRPr="00D329EB">
        <w:rPr>
          <w:rFonts w:ascii="仿宋_GB2312" w:eastAsia="仿宋_GB2312" w:hAnsi="宋体" w:hint="eastAsia"/>
          <w:color w:val="000000"/>
          <w:spacing w:val="6"/>
          <w:sz w:val="32"/>
          <w:szCs w:val="32"/>
        </w:rPr>
        <w:t>等）；</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水泥粉磨：辊压机</w:t>
      </w:r>
      <w:r w:rsidRPr="00D329EB">
        <w:rPr>
          <w:rFonts w:ascii="仿宋_GB2312" w:eastAsia="仿宋_GB2312" w:hAnsi="宋体"/>
          <w:color w:val="000000"/>
          <w:spacing w:val="6"/>
          <w:sz w:val="32"/>
          <w:szCs w:val="32"/>
        </w:rPr>
        <w:t>+</w:t>
      </w:r>
      <w:r w:rsidRPr="00D329EB">
        <w:rPr>
          <w:rFonts w:ascii="仿宋_GB2312" w:eastAsia="仿宋_GB2312" w:hAnsi="宋体" w:hint="eastAsia"/>
          <w:color w:val="000000"/>
          <w:spacing w:val="6"/>
          <w:sz w:val="32"/>
          <w:szCs w:val="32"/>
        </w:rPr>
        <w:t>球磨机（或立磨）；</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收尘系统：窑头袋收尘、</w:t>
      </w:r>
      <w:proofErr w:type="gramStart"/>
      <w:r w:rsidRPr="00D329EB">
        <w:rPr>
          <w:rFonts w:ascii="仿宋_GB2312" w:eastAsia="仿宋_GB2312" w:hAnsi="宋体" w:hint="eastAsia"/>
          <w:color w:val="000000"/>
          <w:spacing w:val="6"/>
          <w:sz w:val="32"/>
          <w:szCs w:val="32"/>
        </w:rPr>
        <w:t>窑尾袋收尘</w:t>
      </w:r>
      <w:proofErr w:type="gramEnd"/>
      <w:r w:rsidRPr="00D329EB">
        <w:rPr>
          <w:rFonts w:ascii="仿宋_GB2312" w:eastAsia="仿宋_GB2312" w:hAnsi="宋体" w:hint="eastAsia"/>
          <w:color w:val="000000"/>
          <w:spacing w:val="6"/>
          <w:sz w:val="32"/>
          <w:szCs w:val="32"/>
        </w:rPr>
        <w:t>；</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节电：余热发电机组配套；</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环保节能设施：</w:t>
      </w:r>
      <w:r w:rsidRPr="00D329EB">
        <w:rPr>
          <w:rFonts w:ascii="仿宋_GB2312" w:eastAsia="仿宋_GB2312" w:hAnsi="宋体"/>
          <w:color w:val="000000"/>
          <w:spacing w:val="6"/>
          <w:sz w:val="32"/>
          <w:szCs w:val="32"/>
        </w:rPr>
        <w:t>SNCR</w:t>
      </w:r>
      <w:r w:rsidRPr="00D329EB">
        <w:rPr>
          <w:rFonts w:ascii="仿宋_GB2312" w:eastAsia="仿宋_GB2312" w:hAnsi="宋体" w:hint="eastAsia"/>
          <w:color w:val="000000"/>
          <w:spacing w:val="6"/>
          <w:sz w:val="32"/>
          <w:szCs w:val="32"/>
        </w:rPr>
        <w:t>脱硝、脱硫设施（高硫矿地区）、变频改造；生产控制优化系统等、</w:t>
      </w:r>
      <w:proofErr w:type="gramStart"/>
      <w:r w:rsidRPr="00D329EB">
        <w:rPr>
          <w:rFonts w:ascii="仿宋_GB2312" w:eastAsia="仿宋_GB2312" w:hAnsi="宋体" w:hint="eastAsia"/>
          <w:color w:val="000000"/>
          <w:spacing w:val="6"/>
          <w:sz w:val="32"/>
          <w:szCs w:val="32"/>
        </w:rPr>
        <w:t>水泥窑脱汞</w:t>
      </w:r>
      <w:proofErr w:type="gramEnd"/>
      <w:r w:rsidRPr="00D329EB">
        <w:rPr>
          <w:rFonts w:ascii="仿宋_GB2312" w:eastAsia="仿宋_GB2312" w:hAnsi="宋体" w:hint="eastAsia"/>
          <w:color w:val="000000"/>
          <w:spacing w:val="6"/>
          <w:sz w:val="32"/>
          <w:szCs w:val="32"/>
        </w:rPr>
        <w:t>；窑头、窑尾除尘系统改造（电</w:t>
      </w:r>
      <w:proofErr w:type="gramStart"/>
      <w:r w:rsidRPr="00D329EB">
        <w:rPr>
          <w:rFonts w:ascii="仿宋_GB2312" w:eastAsia="仿宋_GB2312" w:hAnsi="宋体" w:hint="eastAsia"/>
          <w:color w:val="000000"/>
          <w:spacing w:val="6"/>
          <w:sz w:val="32"/>
          <w:szCs w:val="32"/>
        </w:rPr>
        <w:t>收尘改袋收尘</w:t>
      </w:r>
      <w:proofErr w:type="gramEnd"/>
      <w:r w:rsidRPr="00D329EB">
        <w:rPr>
          <w:rFonts w:ascii="仿宋_GB2312" w:eastAsia="仿宋_GB2312" w:hAnsi="宋体" w:hint="eastAsia"/>
          <w:color w:val="000000"/>
          <w:spacing w:val="6"/>
          <w:sz w:val="32"/>
          <w:szCs w:val="32"/>
        </w:rPr>
        <w:t>、新型滤料等）；</w:t>
      </w:r>
    </w:p>
    <w:p w:rsidR="00FE3E05" w:rsidRPr="00D329EB" w:rsidRDefault="00FE3E05" w:rsidP="00FE3E05">
      <w:pPr>
        <w:spacing w:line="640" w:lineRule="exact"/>
        <w:ind w:firstLineChars="200" w:firstLine="664"/>
        <w:rPr>
          <w:rFonts w:ascii="仿宋_GB2312" w:eastAsia="仿宋_GB2312" w:hAnsi="宋体"/>
          <w:color w:val="000000"/>
          <w:spacing w:val="6"/>
          <w:sz w:val="32"/>
          <w:szCs w:val="32"/>
        </w:rPr>
      </w:pPr>
      <w:r w:rsidRPr="00D329EB">
        <w:rPr>
          <w:rFonts w:ascii="仿宋_GB2312" w:eastAsia="仿宋_GB2312" w:hAnsi="宋体" w:hint="eastAsia"/>
          <w:color w:val="000000"/>
          <w:spacing w:val="6"/>
          <w:sz w:val="32"/>
          <w:szCs w:val="32"/>
        </w:rPr>
        <w:t>能源管理：能源管理体系（生产控制优化系统）、能源管理中心建设；</w:t>
      </w:r>
    </w:p>
    <w:p w:rsidR="00FE3E05" w:rsidRPr="00D329EB" w:rsidRDefault="00FE3E05" w:rsidP="00FE3E05">
      <w:pPr>
        <w:spacing w:line="640" w:lineRule="exact"/>
        <w:ind w:firstLineChars="200" w:firstLine="664"/>
        <w:rPr>
          <w:rFonts w:ascii="仿宋_GB2312" w:eastAsia="仿宋_GB2312" w:hAnsi="宋体" w:hint="eastAsia"/>
          <w:color w:val="000000"/>
          <w:spacing w:val="6"/>
          <w:sz w:val="32"/>
          <w:szCs w:val="32"/>
        </w:rPr>
      </w:pPr>
      <w:r w:rsidRPr="00D329EB">
        <w:rPr>
          <w:rFonts w:ascii="仿宋_GB2312" w:eastAsia="仿宋_GB2312" w:hAnsi="宋体" w:hint="eastAsia"/>
          <w:color w:val="000000"/>
          <w:spacing w:val="6"/>
          <w:sz w:val="32"/>
          <w:szCs w:val="32"/>
        </w:rPr>
        <w:t>两化融合、贯彻智能制造（中国制造</w:t>
      </w:r>
      <w:r w:rsidRPr="00D329EB">
        <w:rPr>
          <w:rFonts w:ascii="仿宋_GB2312" w:eastAsia="仿宋_GB2312" w:hAnsi="宋体"/>
          <w:color w:val="000000"/>
          <w:spacing w:val="6"/>
          <w:sz w:val="32"/>
          <w:szCs w:val="32"/>
        </w:rPr>
        <w:t>2025</w:t>
      </w:r>
      <w:r w:rsidRPr="00D329EB">
        <w:rPr>
          <w:rFonts w:ascii="仿宋_GB2312" w:eastAsia="仿宋_GB2312" w:hAnsi="宋体" w:hint="eastAsia"/>
          <w:color w:val="000000"/>
          <w:spacing w:val="6"/>
          <w:sz w:val="32"/>
          <w:szCs w:val="32"/>
        </w:rPr>
        <w:t>）</w:t>
      </w:r>
    </w:p>
    <w:p w:rsidR="00FE3E05" w:rsidRPr="00BF6E16" w:rsidRDefault="00FE3E05" w:rsidP="00FE3E05">
      <w:pPr>
        <w:spacing w:line="640" w:lineRule="exact"/>
        <w:ind w:firstLineChars="197" w:firstLine="654"/>
        <w:rPr>
          <w:rFonts w:ascii="仿宋_GB2312" w:eastAsia="仿宋_GB2312" w:hAnsi="宋体" w:hint="eastAsia"/>
          <w:color w:val="000000"/>
          <w:spacing w:val="6"/>
          <w:sz w:val="32"/>
          <w:szCs w:val="32"/>
        </w:rPr>
      </w:pPr>
      <w:r w:rsidRPr="00BF6E16">
        <w:rPr>
          <w:rFonts w:ascii="仿宋_GB2312" w:eastAsia="仿宋_GB2312" w:hAnsi="宋体" w:hint="eastAsia"/>
          <w:color w:val="000000"/>
          <w:spacing w:val="6"/>
          <w:sz w:val="32"/>
          <w:szCs w:val="32"/>
        </w:rPr>
        <w:t>2、</w:t>
      </w:r>
      <w:r>
        <w:rPr>
          <w:rFonts w:ascii="仿宋_GB2312" w:eastAsia="仿宋_GB2312" w:hAnsi="宋体" w:hint="eastAsia"/>
          <w:color w:val="000000"/>
          <w:spacing w:val="6"/>
          <w:sz w:val="32"/>
          <w:szCs w:val="32"/>
        </w:rPr>
        <w:t>继续</w:t>
      </w:r>
      <w:r w:rsidRPr="003E6DD1">
        <w:rPr>
          <w:rFonts w:ascii="仿宋_GB2312" w:eastAsia="仿宋_GB2312" w:hAnsi="宋体" w:hint="eastAsia"/>
          <w:color w:val="000000"/>
          <w:spacing w:val="6"/>
          <w:sz w:val="32"/>
          <w:szCs w:val="32"/>
        </w:rPr>
        <w:t>推进结构性供给侧改革，化解产能过剩</w:t>
      </w:r>
    </w:p>
    <w:p w:rsidR="00FE3E05" w:rsidRDefault="00FE3E05" w:rsidP="00FE3E05">
      <w:pPr>
        <w:spacing w:line="640" w:lineRule="exact"/>
        <w:ind w:firstLineChars="200" w:firstLine="664"/>
        <w:rPr>
          <w:rFonts w:ascii="仿宋_GB2312" w:eastAsia="仿宋_GB2312" w:hAnsi="宋体" w:hint="eastAsia"/>
          <w:color w:val="000000"/>
          <w:spacing w:val="6"/>
          <w:sz w:val="32"/>
          <w:szCs w:val="32"/>
        </w:rPr>
      </w:pPr>
      <w:r w:rsidRPr="003E6DD1">
        <w:rPr>
          <w:rFonts w:ascii="仿宋_GB2312" w:eastAsia="仿宋_GB2312" w:hAnsi="宋体" w:hint="eastAsia"/>
          <w:color w:val="000000"/>
          <w:spacing w:val="6"/>
          <w:sz w:val="32"/>
          <w:szCs w:val="32"/>
        </w:rPr>
        <w:t>3、创新驱动绿色发展、加快二代技术装备攻关</w:t>
      </w:r>
    </w:p>
    <w:p w:rsidR="00FE3E05" w:rsidRDefault="00FE3E05" w:rsidP="00FE3E05">
      <w:pPr>
        <w:spacing w:line="640" w:lineRule="exact"/>
        <w:ind w:firstLineChars="200" w:firstLine="664"/>
        <w:rPr>
          <w:rFonts w:ascii="仿宋_GB2312" w:eastAsia="仿宋_GB2312" w:hAnsi="宋体" w:hint="eastAsia"/>
          <w:color w:val="000000"/>
          <w:spacing w:val="6"/>
          <w:sz w:val="32"/>
          <w:szCs w:val="32"/>
        </w:rPr>
      </w:pPr>
      <w:r>
        <w:rPr>
          <w:rFonts w:ascii="仿宋_GB2312" w:eastAsia="仿宋_GB2312" w:hAnsi="宋体" w:hint="eastAsia"/>
          <w:color w:val="000000"/>
          <w:spacing w:val="6"/>
          <w:sz w:val="32"/>
          <w:szCs w:val="32"/>
        </w:rPr>
        <w:lastRenderedPageBreak/>
        <w:t>4、</w:t>
      </w:r>
      <w:r w:rsidRPr="003E6DD1">
        <w:rPr>
          <w:rFonts w:ascii="仿宋_GB2312" w:eastAsia="仿宋_GB2312" w:hAnsi="宋体" w:hint="eastAsia"/>
          <w:color w:val="000000"/>
          <w:spacing w:val="6"/>
          <w:sz w:val="32"/>
          <w:szCs w:val="32"/>
        </w:rPr>
        <w:t>推广水泥窑协同处置生活垃圾</w:t>
      </w:r>
      <w:r>
        <w:rPr>
          <w:rFonts w:ascii="仿宋_GB2312" w:eastAsia="仿宋_GB2312" w:hAnsi="宋体" w:hint="eastAsia"/>
          <w:color w:val="000000"/>
          <w:spacing w:val="6"/>
          <w:sz w:val="32"/>
          <w:szCs w:val="32"/>
        </w:rPr>
        <w:t>、</w:t>
      </w:r>
      <w:r w:rsidRPr="003E6DD1">
        <w:rPr>
          <w:rFonts w:ascii="仿宋_GB2312" w:eastAsia="仿宋_GB2312" w:hAnsi="宋体" w:hint="eastAsia"/>
          <w:color w:val="000000"/>
          <w:spacing w:val="6"/>
          <w:sz w:val="32"/>
          <w:szCs w:val="32"/>
        </w:rPr>
        <w:t>城市污泥</w:t>
      </w:r>
      <w:r>
        <w:rPr>
          <w:rFonts w:ascii="仿宋_GB2312" w:eastAsia="仿宋_GB2312" w:hAnsi="宋体" w:hint="eastAsia"/>
          <w:color w:val="000000"/>
          <w:spacing w:val="6"/>
          <w:sz w:val="32"/>
          <w:szCs w:val="32"/>
        </w:rPr>
        <w:t>、危险废弃物</w:t>
      </w:r>
    </w:p>
    <w:p w:rsidR="00FE3E05" w:rsidRDefault="00FE3E05" w:rsidP="00FE3E05">
      <w:pPr>
        <w:spacing w:line="640" w:lineRule="exact"/>
        <w:ind w:firstLineChars="200" w:firstLine="664"/>
        <w:rPr>
          <w:rFonts w:ascii="仿宋_GB2312" w:eastAsia="仿宋_GB2312" w:hAnsi="宋体" w:hint="eastAsia"/>
          <w:color w:val="000000"/>
          <w:spacing w:val="6"/>
          <w:sz w:val="32"/>
          <w:szCs w:val="32"/>
        </w:rPr>
      </w:pPr>
      <w:r>
        <w:rPr>
          <w:rFonts w:ascii="仿宋_GB2312" w:eastAsia="仿宋_GB2312" w:hAnsi="宋体" w:hint="eastAsia"/>
          <w:color w:val="000000"/>
          <w:spacing w:val="6"/>
          <w:sz w:val="32"/>
          <w:szCs w:val="32"/>
        </w:rPr>
        <w:t>5、</w:t>
      </w:r>
      <w:r w:rsidRPr="0078361E">
        <w:rPr>
          <w:rFonts w:ascii="仿宋_GB2312" w:eastAsia="仿宋_GB2312" w:hAnsi="宋体" w:hint="eastAsia"/>
          <w:color w:val="000000"/>
          <w:spacing w:val="6"/>
          <w:sz w:val="32"/>
          <w:szCs w:val="32"/>
        </w:rPr>
        <w:t>依靠行业力量、达成节能减排共识</w:t>
      </w:r>
    </w:p>
    <w:p w:rsidR="00C26665" w:rsidRDefault="00FE3E05" w:rsidP="00FE3E05">
      <w:r>
        <w:rPr>
          <w:rFonts w:ascii="仿宋_GB2312" w:eastAsia="仿宋_GB2312" w:hAnsi="宋体" w:hint="eastAsia"/>
          <w:color w:val="000000"/>
          <w:spacing w:val="6"/>
          <w:sz w:val="32"/>
          <w:szCs w:val="32"/>
        </w:rPr>
        <w:t>6、</w:t>
      </w:r>
      <w:r w:rsidRPr="0078361E">
        <w:rPr>
          <w:rFonts w:ascii="仿宋_GB2312" w:eastAsia="仿宋_GB2312" w:hAnsi="宋体" w:hint="eastAsia"/>
          <w:color w:val="000000"/>
          <w:spacing w:val="6"/>
          <w:sz w:val="32"/>
          <w:szCs w:val="32"/>
        </w:rPr>
        <w:t>发挥媒体宣传监督舆论导向作用</w:t>
      </w:r>
    </w:p>
    <w:sectPr w:rsidR="00C26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05"/>
    <w:rsid w:val="00007F81"/>
    <w:rsid w:val="0001666C"/>
    <w:rsid w:val="0003478D"/>
    <w:rsid w:val="000504C9"/>
    <w:rsid w:val="000666CF"/>
    <w:rsid w:val="00096851"/>
    <w:rsid w:val="000A071E"/>
    <w:rsid w:val="000C7C3F"/>
    <w:rsid w:val="000E4992"/>
    <w:rsid w:val="00101802"/>
    <w:rsid w:val="00103F57"/>
    <w:rsid w:val="0013725C"/>
    <w:rsid w:val="00146006"/>
    <w:rsid w:val="00182B28"/>
    <w:rsid w:val="00190AE7"/>
    <w:rsid w:val="001B201B"/>
    <w:rsid w:val="001E5E23"/>
    <w:rsid w:val="00206870"/>
    <w:rsid w:val="002122FC"/>
    <w:rsid w:val="002622D6"/>
    <w:rsid w:val="002751D7"/>
    <w:rsid w:val="002B0533"/>
    <w:rsid w:val="0033193B"/>
    <w:rsid w:val="003358B0"/>
    <w:rsid w:val="00393C86"/>
    <w:rsid w:val="003B2CB8"/>
    <w:rsid w:val="003B4EC1"/>
    <w:rsid w:val="003B5ACB"/>
    <w:rsid w:val="003B6ECC"/>
    <w:rsid w:val="003C56E7"/>
    <w:rsid w:val="00406D9A"/>
    <w:rsid w:val="004160E7"/>
    <w:rsid w:val="00430294"/>
    <w:rsid w:val="00431466"/>
    <w:rsid w:val="00440BE7"/>
    <w:rsid w:val="00444D9D"/>
    <w:rsid w:val="00460EDB"/>
    <w:rsid w:val="004A75DE"/>
    <w:rsid w:val="004B04E0"/>
    <w:rsid w:val="004C5484"/>
    <w:rsid w:val="004C6B9E"/>
    <w:rsid w:val="004E0F8C"/>
    <w:rsid w:val="004F3B20"/>
    <w:rsid w:val="00507713"/>
    <w:rsid w:val="00525D70"/>
    <w:rsid w:val="00547CFC"/>
    <w:rsid w:val="00555F9A"/>
    <w:rsid w:val="0056002F"/>
    <w:rsid w:val="005758EA"/>
    <w:rsid w:val="00586361"/>
    <w:rsid w:val="00591233"/>
    <w:rsid w:val="005949D2"/>
    <w:rsid w:val="005E4219"/>
    <w:rsid w:val="005F76D0"/>
    <w:rsid w:val="00620D59"/>
    <w:rsid w:val="0065224E"/>
    <w:rsid w:val="00661D04"/>
    <w:rsid w:val="00685B2A"/>
    <w:rsid w:val="006953CE"/>
    <w:rsid w:val="006A03FA"/>
    <w:rsid w:val="006A1B46"/>
    <w:rsid w:val="006A43FD"/>
    <w:rsid w:val="006A4AB7"/>
    <w:rsid w:val="006A6ED6"/>
    <w:rsid w:val="006B44C1"/>
    <w:rsid w:val="006C0721"/>
    <w:rsid w:val="006E0AE6"/>
    <w:rsid w:val="006F0FEA"/>
    <w:rsid w:val="007163D1"/>
    <w:rsid w:val="0073422D"/>
    <w:rsid w:val="00744CFA"/>
    <w:rsid w:val="00746236"/>
    <w:rsid w:val="00750CC9"/>
    <w:rsid w:val="00762439"/>
    <w:rsid w:val="007630D8"/>
    <w:rsid w:val="00796CD0"/>
    <w:rsid w:val="007A602C"/>
    <w:rsid w:val="007A67ED"/>
    <w:rsid w:val="007C6109"/>
    <w:rsid w:val="007F4649"/>
    <w:rsid w:val="008056FA"/>
    <w:rsid w:val="00810E55"/>
    <w:rsid w:val="008135AA"/>
    <w:rsid w:val="00815961"/>
    <w:rsid w:val="00817CEE"/>
    <w:rsid w:val="00820E53"/>
    <w:rsid w:val="0082430F"/>
    <w:rsid w:val="00835331"/>
    <w:rsid w:val="00841E78"/>
    <w:rsid w:val="00842942"/>
    <w:rsid w:val="00851959"/>
    <w:rsid w:val="008726F7"/>
    <w:rsid w:val="00875C25"/>
    <w:rsid w:val="00894890"/>
    <w:rsid w:val="008968AC"/>
    <w:rsid w:val="00902C5A"/>
    <w:rsid w:val="00905BF9"/>
    <w:rsid w:val="009062E9"/>
    <w:rsid w:val="0093144E"/>
    <w:rsid w:val="009436AB"/>
    <w:rsid w:val="0095443D"/>
    <w:rsid w:val="00960136"/>
    <w:rsid w:val="00962B9E"/>
    <w:rsid w:val="009A060A"/>
    <w:rsid w:val="009C533A"/>
    <w:rsid w:val="009D5DD8"/>
    <w:rsid w:val="009E185E"/>
    <w:rsid w:val="00A02589"/>
    <w:rsid w:val="00A17F10"/>
    <w:rsid w:val="00A21A6C"/>
    <w:rsid w:val="00A3211D"/>
    <w:rsid w:val="00A51E1A"/>
    <w:rsid w:val="00A74C2D"/>
    <w:rsid w:val="00A777DB"/>
    <w:rsid w:val="00A8789B"/>
    <w:rsid w:val="00AC6F41"/>
    <w:rsid w:val="00AE62DC"/>
    <w:rsid w:val="00B10734"/>
    <w:rsid w:val="00B57A05"/>
    <w:rsid w:val="00B62C26"/>
    <w:rsid w:val="00B6461C"/>
    <w:rsid w:val="00BA74EA"/>
    <w:rsid w:val="00BC5CC5"/>
    <w:rsid w:val="00BD3FD7"/>
    <w:rsid w:val="00BD4CE2"/>
    <w:rsid w:val="00C00727"/>
    <w:rsid w:val="00C144A6"/>
    <w:rsid w:val="00C26665"/>
    <w:rsid w:val="00C37064"/>
    <w:rsid w:val="00C47BF2"/>
    <w:rsid w:val="00C51572"/>
    <w:rsid w:val="00C56091"/>
    <w:rsid w:val="00CB1191"/>
    <w:rsid w:val="00CB18BC"/>
    <w:rsid w:val="00CC281A"/>
    <w:rsid w:val="00D0133A"/>
    <w:rsid w:val="00D80DED"/>
    <w:rsid w:val="00DA5827"/>
    <w:rsid w:val="00DA6DB4"/>
    <w:rsid w:val="00DB4991"/>
    <w:rsid w:val="00DB64BB"/>
    <w:rsid w:val="00DE5CE8"/>
    <w:rsid w:val="00DF3A52"/>
    <w:rsid w:val="00DF3B4D"/>
    <w:rsid w:val="00E05F85"/>
    <w:rsid w:val="00E35BAA"/>
    <w:rsid w:val="00E519B1"/>
    <w:rsid w:val="00EA0049"/>
    <w:rsid w:val="00EB0A23"/>
    <w:rsid w:val="00EF16E2"/>
    <w:rsid w:val="00EF3D63"/>
    <w:rsid w:val="00F15D6F"/>
    <w:rsid w:val="00F160E7"/>
    <w:rsid w:val="00F22354"/>
    <w:rsid w:val="00F44CE6"/>
    <w:rsid w:val="00F827DB"/>
    <w:rsid w:val="00F842FD"/>
    <w:rsid w:val="00FE0D0E"/>
    <w:rsid w:val="00FE3E05"/>
    <w:rsid w:val="00FF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2017-05-25T07:16:00Z</dcterms:created>
  <dcterms:modified xsi:type="dcterms:W3CDTF">2017-05-25T07:17:00Z</dcterms:modified>
</cp:coreProperties>
</file>