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1</w:t>
      </w:r>
    </w:p>
    <w:p>
      <w:pPr>
        <w:pStyle w:val="5"/>
        <w:bidi w:val="0"/>
        <w:rPr>
          <w:rFonts w:hint="eastAsia"/>
          <w:sz w:val="36"/>
          <w:szCs w:val="36"/>
        </w:rPr>
      </w:pPr>
    </w:p>
    <w:p>
      <w:pPr>
        <w:pStyle w:val="5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征集重点领域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1. 水污染治理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包括生活污水、工业废水处理及资源化利用，河湖、城市黑臭水体等治理和生态修复。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2. 大气污染治理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包括烟气除尘脱硫脱硝及多污染物协同控制，重点行业挥发性有机物（VOCs）污染防治，移动源污染控制，无组织排放控制等。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3. 固体废物处理处置及资源化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包括生活垃圾、有机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固体废物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、大宗工业固体废物、主要农业废弃物、危险废物等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highlight w:val="none"/>
        </w:rPr>
        <w:t>固体废物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处理及资源化。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4. 土壤及地下水修复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包括污染地块、农用地、工矿用地的土壤及地下水风险管控和绿色修复。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5. 环境监测与监控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包括生态环境质量、污染源和环境应急监测与监控等。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3" w:firstLineChars="200"/>
        <w:jc w:val="both"/>
        <w:outlineLvl w:val="2"/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 w:val="32"/>
          <w:szCs w:val="32"/>
          <w:lang w:val="en-US" w:eastAsia="zh-CN" w:bidi="ar-SA"/>
        </w:rPr>
        <w:t>6.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包括噪声与振动污染控制、典型脆弱生态修复与保护等。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816C9"/>
    <w:rsid w:val="01CC5E80"/>
    <w:rsid w:val="0869040E"/>
    <w:rsid w:val="237C552D"/>
    <w:rsid w:val="2787581E"/>
    <w:rsid w:val="2FC970BC"/>
    <w:rsid w:val="36AE7ABB"/>
    <w:rsid w:val="51222B24"/>
    <w:rsid w:val="52B749E0"/>
    <w:rsid w:val="599770FE"/>
    <w:rsid w:val="5C626DAC"/>
    <w:rsid w:val="6A38203D"/>
    <w:rsid w:val="78CF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_GB2312" w:cs="Times New Roman"/>
      <w:b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黑体"/>
      <w:bCs/>
      <w:sz w:val="32"/>
      <w:szCs w:val="32"/>
      <w:lang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4"/>
    <w:uiPriority w:val="0"/>
    <w:rPr>
      <w:rFonts w:ascii="Times New Roman" w:hAnsi="Times New Roman" w:eastAsia="黑体"/>
      <w:bCs/>
      <w:sz w:val="32"/>
      <w:szCs w:val="32"/>
      <w:lang w:bidi="ar-SA"/>
    </w:rPr>
  </w:style>
  <w:style w:type="character" w:customStyle="1" w:styleId="9">
    <w:name w:val="标题 2 Char"/>
    <w:link w:val="3"/>
    <w:uiPriority w:val="0"/>
    <w:rPr>
      <w:rFonts w:ascii="Times New Roman" w:hAnsi="Times New Roman" w:eastAsia="楷体_GB2312" w:cs="Times New Roman"/>
      <w:b/>
    </w:rPr>
  </w:style>
  <w:style w:type="character" w:customStyle="1" w:styleId="10">
    <w:name w:val="标题 1 Char"/>
    <w:link w:val="2"/>
    <w:uiPriority w:val="0"/>
    <w:rPr>
      <w:rFonts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xyw</cp:lastModifiedBy>
  <dcterms:modified xsi:type="dcterms:W3CDTF">2021-03-23T03:39:34Z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CB04C427243B405496FDADFC5BA231A6</vt:lpwstr>
  </property>
</Properties>
</file>