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spacing w:beforeLines="50" w:afterLines="50" w:line="480" w:lineRule="auto"/>
        <w:jc w:val="center"/>
        <w:rPr>
          <w:rFonts w:ascii="黑体" w:eastAsia="黑体"/>
          <w:sz w:val="64"/>
          <w:szCs w:val="64"/>
        </w:rPr>
      </w:pPr>
      <w:r>
        <w:rPr>
          <w:rFonts w:hint="eastAsia" w:ascii="黑体" w:eastAsia="黑体"/>
          <w:sz w:val="64"/>
          <w:szCs w:val="64"/>
        </w:rPr>
        <w:t>水泥窑余热发电系统安全规程</w:t>
      </w:r>
    </w:p>
    <w:p>
      <w:pPr>
        <w:pStyle w:val="16"/>
        <w:spacing w:beforeLines="50" w:afterLines="50" w:line="480" w:lineRule="auto"/>
        <w:rPr>
          <w:rFonts w:hint="eastAsia" w:ascii="Times New Roman" w:eastAsia="黑体"/>
          <w:sz w:val="64"/>
          <w:szCs w:val="64"/>
        </w:rPr>
      </w:pPr>
      <w:r>
        <w:rPr>
          <w:rFonts w:hint="eastAsia" w:ascii="Times New Roman" w:eastAsia="黑体"/>
          <w:sz w:val="64"/>
          <w:szCs w:val="64"/>
        </w:rPr>
        <w:t>编制说明</w:t>
      </w: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r>
        <w:rPr>
          <w:rFonts w:hint="eastAsia"/>
        </w:rPr>
        <w:t>中国建材检验认证集团股份有限公司</w:t>
      </w:r>
    </w:p>
    <w:p>
      <w:pPr>
        <w:pStyle w:val="15"/>
        <w:rPr>
          <w:rFonts w:ascii="Times New Roman" w:eastAsia="黑体"/>
          <w:sz w:val="36"/>
          <w:szCs w:val="36"/>
        </w:rPr>
      </w:pPr>
      <w:r>
        <w:rPr>
          <w:rFonts w:ascii="Times New Roman" w:eastAsia="黑体"/>
          <w:sz w:val="36"/>
          <w:szCs w:val="36"/>
        </w:rPr>
        <w:t>2016</w:t>
      </w:r>
      <w:r>
        <w:rPr>
          <w:rFonts w:hint="eastAsia" w:ascii="Times New Roman" w:eastAsia="黑体"/>
          <w:sz w:val="36"/>
          <w:szCs w:val="36"/>
        </w:rPr>
        <w:t>年</w:t>
      </w:r>
      <w:r>
        <w:rPr>
          <w:rFonts w:ascii="Times New Roman" w:eastAsia="黑体"/>
          <w:sz w:val="36"/>
          <w:szCs w:val="36"/>
        </w:rPr>
        <w:t>11</w:t>
      </w:r>
      <w:r>
        <w:rPr>
          <w:rFonts w:hint="eastAsia" w:ascii="Times New Roman" w:eastAsia="黑体"/>
          <w:sz w:val="36"/>
          <w:szCs w:val="36"/>
        </w:rPr>
        <w:t>月</w:t>
      </w:r>
    </w:p>
    <w:p>
      <w:pPr>
        <w:pStyle w:val="16"/>
        <w:spacing w:line="300" w:lineRule="auto"/>
        <w:jc w:val="both"/>
        <w:rPr>
          <w:rFonts w:ascii="Times New Roman"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425" w:num="1"/>
          <w:titlePg/>
          <w:docGrid w:type="lines" w:linePitch="381" w:charSpace="0"/>
        </w:sectPr>
      </w:pPr>
    </w:p>
    <w:p>
      <w:pPr>
        <w:pStyle w:val="20"/>
        <w:numPr>
          <w:ilvl w:val="0"/>
          <w:numId w:val="2"/>
        </w:numPr>
        <w:spacing w:beforeLines="50" w:afterLines="50" w:line="360" w:lineRule="auto"/>
        <w:ind w:firstLineChars="0"/>
        <w:rPr>
          <w:rFonts w:ascii="Times New Roman" w:hAnsi="Times New Roman" w:cs="Times New Roman"/>
          <w:b/>
          <w:sz w:val="28"/>
          <w:szCs w:val="28"/>
        </w:rPr>
      </w:pPr>
      <w:bookmarkStart w:id="0" w:name="_Toc467828976"/>
      <w:bookmarkStart w:id="1" w:name="_Toc467828975"/>
      <w:r>
        <w:rPr>
          <w:rFonts w:hint="eastAsia" w:ascii="Times New Roman" w:hAnsi="黑体" w:eastAsia="黑体" w:cs="Times New Roman"/>
          <w:sz w:val="28"/>
          <w:szCs w:val="28"/>
        </w:rPr>
        <w:t>任务来源</w:t>
      </w:r>
      <w:bookmarkEnd w:id="0"/>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在国家相关部门的高度重视下，中国建筑材料联合会提出了本标准，并根据工业和信息化部2014年第四批行业标准制修订计划的通知要求，立项本标准（</w:t>
      </w:r>
      <w:r>
        <w:rPr>
          <w:rFonts w:hint="eastAsia" w:ascii="宋体" w:hAnsi="宋体"/>
          <w:sz w:val="24"/>
        </w:rPr>
        <w:t>计划编号：</w:t>
      </w:r>
      <w:r>
        <w:rPr>
          <w:rFonts w:ascii="宋体" w:hAnsi="宋体"/>
          <w:sz w:val="24"/>
        </w:rPr>
        <w:fldChar w:fldCharType="begin"/>
      </w:r>
      <w:r>
        <w:rPr>
          <w:rFonts w:ascii="宋体" w:hAnsi="宋体"/>
          <w:sz w:val="24"/>
        </w:rPr>
        <w:instrText xml:space="preserve">HYPERLINK "http://219.239.107.155:8080/TaskBook.aspx?id=JCAQZT27652014"</w:instrText>
      </w:r>
      <w:r>
        <w:rPr>
          <w:rFonts w:ascii="宋体" w:hAnsi="宋体"/>
          <w:sz w:val="24"/>
        </w:rPr>
        <w:fldChar w:fldCharType="separate"/>
      </w:r>
      <w:r>
        <w:rPr>
          <w:rFonts w:ascii="宋体" w:hAnsi="宋体"/>
          <w:sz w:val="24"/>
        </w:rPr>
        <w:t>2014-1911T-JC</w:t>
      </w:r>
      <w:r>
        <w:rPr>
          <w:rFonts w:ascii="宋体" w:hAnsi="宋体"/>
          <w:sz w:val="24"/>
        </w:rPr>
        <w:fldChar w:fldCharType="end"/>
      </w:r>
      <w:r>
        <w:rPr>
          <w:rFonts w:hint="eastAsia" w:ascii="Times New Roman"/>
          <w:sz w:val="28"/>
          <w:szCs w:val="28"/>
          <w:lang w:val="en-US" w:eastAsia="zh-CN"/>
        </w:rPr>
        <w:t>）。</w:t>
      </w:r>
      <w:bookmarkStart w:id="16" w:name="_GoBack"/>
      <w:bookmarkEnd w:id="16"/>
    </w:p>
    <w:p>
      <w:pPr>
        <w:pStyle w:val="20"/>
        <w:numPr>
          <w:ilvl w:val="0"/>
          <w:numId w:val="2"/>
        </w:numPr>
        <w:spacing w:beforeLines="50" w:afterLines="50" w:line="360" w:lineRule="auto"/>
        <w:ind w:firstLineChars="0"/>
        <w:rPr>
          <w:rFonts w:ascii="Times New Roman" w:hAnsi="黑体" w:eastAsia="黑体" w:cs="Times New Roman"/>
          <w:sz w:val="28"/>
          <w:szCs w:val="28"/>
        </w:rPr>
      </w:pPr>
      <w:r>
        <w:rPr>
          <w:rFonts w:ascii="Times New Roman" w:hAnsi="黑体" w:eastAsia="黑体" w:cs="Times New Roman"/>
          <w:sz w:val="28"/>
          <w:szCs w:val="28"/>
        </w:rPr>
        <w:t>编制背景与目的</w:t>
      </w:r>
    </w:p>
    <w:bookmarkEnd w:id="1"/>
    <w:p>
      <w:pPr>
        <w:spacing w:line="360" w:lineRule="auto"/>
        <w:ind w:firstLine="560" w:firstLineChars="200"/>
        <w:rPr>
          <w:rFonts w:ascii="Times New Roman"/>
          <w:sz w:val="28"/>
          <w:szCs w:val="28"/>
        </w:rPr>
      </w:pPr>
      <w:r>
        <w:rPr>
          <w:rFonts w:hint="eastAsia" w:ascii="Times New Roman"/>
          <w:sz w:val="28"/>
          <w:szCs w:val="28"/>
        </w:rPr>
        <w:t>水泥窑纯低温余热发电已经作为水泥新型干法回转窑的配套设备，在水泥熟料生产企业普遍存在。由于其涉及到高温、高压，</w:t>
      </w:r>
      <w:r>
        <w:rPr>
          <w:rFonts w:ascii="Times New Roman"/>
          <w:sz w:val="28"/>
          <w:szCs w:val="28"/>
        </w:rPr>
        <w:t>发电过程中</w:t>
      </w:r>
      <w:r>
        <w:rPr>
          <w:rFonts w:hint="eastAsia" w:ascii="Times New Roman"/>
          <w:sz w:val="28"/>
          <w:szCs w:val="28"/>
        </w:rPr>
        <w:t>产生</w:t>
      </w:r>
      <w:r>
        <w:rPr>
          <w:rFonts w:ascii="Times New Roman"/>
          <w:sz w:val="28"/>
          <w:szCs w:val="28"/>
        </w:rPr>
        <w:t>的蒸汽</w:t>
      </w:r>
      <w:r>
        <w:rPr>
          <w:rFonts w:hint="eastAsia" w:ascii="Times New Roman"/>
          <w:sz w:val="28"/>
          <w:szCs w:val="28"/>
        </w:rPr>
        <w:t>需要</w:t>
      </w:r>
      <w:r>
        <w:rPr>
          <w:rFonts w:ascii="Times New Roman"/>
          <w:sz w:val="28"/>
          <w:szCs w:val="28"/>
        </w:rPr>
        <w:t>储存和</w:t>
      </w:r>
      <w:r>
        <w:rPr>
          <w:rFonts w:hint="eastAsia" w:ascii="Times New Roman"/>
          <w:sz w:val="28"/>
          <w:szCs w:val="28"/>
        </w:rPr>
        <w:t>输送</w:t>
      </w:r>
      <w:r>
        <w:rPr>
          <w:rFonts w:ascii="Times New Roman"/>
          <w:sz w:val="28"/>
          <w:szCs w:val="28"/>
        </w:rPr>
        <w:t>，一旦设备出现问题，势必引发安全事故</w:t>
      </w:r>
      <w:r>
        <w:rPr>
          <w:rFonts w:hint="eastAsia" w:ascii="Times New Roman"/>
          <w:sz w:val="28"/>
          <w:szCs w:val="28"/>
        </w:rPr>
        <w:t>。</w:t>
      </w:r>
    </w:p>
    <w:p>
      <w:pPr>
        <w:spacing w:line="360" w:lineRule="auto"/>
        <w:ind w:firstLine="560" w:firstLineChars="200"/>
        <w:rPr>
          <w:rFonts w:ascii="Times New Roman" w:hAnsi="Times New Roman"/>
          <w:sz w:val="28"/>
          <w:szCs w:val="28"/>
        </w:rPr>
      </w:pPr>
      <w:r>
        <w:rPr>
          <w:rFonts w:hint="eastAsia" w:ascii="Times New Roman"/>
          <w:sz w:val="28"/>
          <w:szCs w:val="28"/>
        </w:rPr>
        <w:t>目前，我国已颁布的与水泥企业余热发电系统直接相关的安全生产标准、规程非常缺乏，甚至是没有，各个企业对余热发电系统的安全管理做法不一。而余热发电系统导致的事故却屡见不鲜，像停机、烧瓦、爆管等设备事故屡见报道，如烫伤、摔伤等人身伤害事故也是经常发生。因此，需要制定针对余热发电系统的安全操作规程，以规范行业的管理，减少事故的发生。</w:t>
      </w:r>
    </w:p>
    <w:p>
      <w:pPr>
        <w:spacing w:line="360" w:lineRule="auto"/>
        <w:ind w:firstLine="560" w:firstLineChars="200"/>
        <w:rPr>
          <w:rFonts w:ascii="Times New Roman"/>
          <w:sz w:val="28"/>
          <w:szCs w:val="28"/>
        </w:rPr>
      </w:pPr>
      <w:r>
        <w:rPr>
          <w:rFonts w:hint="eastAsia" w:ascii="Times New Roman"/>
          <w:sz w:val="28"/>
          <w:szCs w:val="28"/>
        </w:rPr>
        <w:t>随着水泥行业安全生产标准化达标体系的逐步推行，对各水泥企业各方面安全技术和安全管理工作提出了越来越高的要求。JC/T 2301《水泥企业安全生产管理规范》的出台，规定了水泥企业安全装置的安全管理，其中对余热发电系统的安全管理提出了简单要求，但不能从实际上指导企业余热发电系统的安全生产管理工作。</w:t>
      </w:r>
    </w:p>
    <w:p>
      <w:pPr>
        <w:spacing w:line="360" w:lineRule="auto"/>
        <w:ind w:firstLine="560" w:firstLineChars="200"/>
        <w:rPr>
          <w:rFonts w:ascii="Times New Roman"/>
          <w:sz w:val="28"/>
          <w:szCs w:val="28"/>
        </w:rPr>
      </w:pPr>
      <w:r>
        <w:rPr>
          <w:rFonts w:hint="eastAsia" w:ascii="Times New Roman"/>
          <w:sz w:val="28"/>
          <w:szCs w:val="28"/>
        </w:rPr>
        <w:t>为提高水泥企业安全生产管理水平、标准化达标工作的针对性和操作性，通过对水泥企业余热发电系统的调研、梳理，制定针对余热发电系统的安全操作规程，以进一步提高企业安全管理能力，提升员工安全管理素质和技能。</w:t>
      </w:r>
    </w:p>
    <w:p>
      <w:pPr>
        <w:pStyle w:val="20"/>
        <w:numPr>
          <w:ilvl w:val="0"/>
          <w:numId w:val="2"/>
        </w:numPr>
        <w:spacing w:beforeLines="50" w:afterLines="50" w:line="360" w:lineRule="auto"/>
        <w:ind w:firstLineChars="0"/>
        <w:rPr>
          <w:rFonts w:ascii="Times New Roman" w:hAnsi="黑体" w:eastAsia="黑体" w:cs="Times New Roman"/>
          <w:sz w:val="28"/>
          <w:szCs w:val="28"/>
        </w:rPr>
      </w:pPr>
      <w:r>
        <w:rPr>
          <w:rFonts w:hint="eastAsia" w:ascii="Times New Roman" w:hAnsi="黑体" w:eastAsia="黑体" w:cs="Times New Roman"/>
          <w:sz w:val="28"/>
          <w:szCs w:val="28"/>
        </w:rPr>
        <w:t>标准制定的依据与指导思想</w:t>
      </w:r>
    </w:p>
    <w:p>
      <w:pPr>
        <w:spacing w:line="360" w:lineRule="auto"/>
        <w:ind w:firstLine="560" w:firstLineChars="200"/>
        <w:rPr>
          <w:sz w:val="28"/>
          <w:szCs w:val="28"/>
        </w:rPr>
      </w:pPr>
      <w:r>
        <w:rPr>
          <w:rFonts w:hint="eastAsia" w:ascii="Times New Roman"/>
          <w:sz w:val="28"/>
          <w:szCs w:val="28"/>
        </w:rPr>
        <w:t>本标准制定的依据有</w:t>
      </w:r>
      <w:r>
        <w:rPr>
          <w:rFonts w:ascii="Times New Roman"/>
          <w:sz w:val="28"/>
          <w:szCs w:val="28"/>
        </w:rPr>
        <w:t>GB50588</w:t>
      </w:r>
      <w:r>
        <w:rPr>
          <w:rFonts w:hint="eastAsia" w:ascii="Times New Roman"/>
          <w:sz w:val="28"/>
          <w:szCs w:val="28"/>
        </w:rPr>
        <w:t>-2010《</w:t>
      </w:r>
      <w:r>
        <w:rPr>
          <w:rFonts w:ascii="Times New Roman"/>
          <w:sz w:val="28"/>
          <w:szCs w:val="28"/>
        </w:rPr>
        <w:t>水泥工厂余热发电设计规范</w:t>
      </w:r>
      <w:r>
        <w:rPr>
          <w:rFonts w:hint="eastAsia" w:ascii="Times New Roman"/>
          <w:sz w:val="28"/>
          <w:szCs w:val="28"/>
        </w:rPr>
        <w:t>》、JC/T2301《水泥企业安全生产管理规范》，</w:t>
      </w:r>
      <w:r>
        <w:rPr>
          <w:rFonts w:hint="eastAsia"/>
          <w:sz w:val="28"/>
          <w:szCs w:val="28"/>
        </w:rPr>
        <w:t>以及其他相关的标准、规章、规范性文件等。</w:t>
      </w:r>
    </w:p>
    <w:p>
      <w:pPr>
        <w:spacing w:line="360" w:lineRule="auto"/>
        <w:ind w:firstLine="560" w:firstLineChars="200"/>
        <w:rPr>
          <w:rFonts w:ascii="Times New Roman"/>
          <w:sz w:val="28"/>
          <w:szCs w:val="28"/>
        </w:rPr>
      </w:pPr>
      <w:r>
        <w:rPr>
          <w:rFonts w:hint="eastAsia"/>
          <w:sz w:val="28"/>
          <w:szCs w:val="28"/>
        </w:rPr>
        <w:t>本着指导企业、规范企业安全管理的思想，坚持“简单、实用、易执行”的原则，通过本标准的制定，能够使水泥企业在对余热发电系统的安全管理方面有标准可依、有标准可用，从而提高企业的安全管理水平。</w:t>
      </w:r>
    </w:p>
    <w:p>
      <w:pPr>
        <w:pStyle w:val="20"/>
        <w:numPr>
          <w:ilvl w:val="0"/>
          <w:numId w:val="2"/>
        </w:numPr>
        <w:spacing w:beforeLines="50" w:afterLines="50" w:line="360" w:lineRule="auto"/>
        <w:ind w:firstLineChars="0"/>
        <w:rPr>
          <w:rFonts w:ascii="Times New Roman" w:hAnsi="黑体" w:eastAsia="黑体" w:cs="Times New Roman"/>
          <w:sz w:val="28"/>
          <w:szCs w:val="28"/>
        </w:rPr>
      </w:pPr>
      <w:r>
        <w:rPr>
          <w:rFonts w:hint="eastAsia" w:ascii="Times New Roman" w:hAnsi="黑体" w:eastAsia="黑体" w:cs="Times New Roman"/>
          <w:sz w:val="28"/>
          <w:szCs w:val="28"/>
        </w:rPr>
        <w:t>标准的适用范围</w:t>
      </w:r>
    </w:p>
    <w:p>
      <w:pPr>
        <w:spacing w:line="360" w:lineRule="auto"/>
        <w:ind w:firstLine="560" w:firstLineChars="200"/>
        <w:rPr>
          <w:rFonts w:ascii="Times New Roman" w:hAnsi="黑体" w:eastAsia="黑体" w:cs="Times New Roman"/>
          <w:sz w:val="28"/>
          <w:szCs w:val="28"/>
        </w:rPr>
      </w:pPr>
      <w:r>
        <w:rPr>
          <w:rFonts w:hint="eastAsia" w:ascii="Times New Roman"/>
          <w:sz w:val="28"/>
          <w:szCs w:val="28"/>
        </w:rPr>
        <w:t>本标准适用于水泥行业的余热发电系统。当然，其他行业的余热发电系统安全规程也可参考执行。</w:t>
      </w:r>
    </w:p>
    <w:p>
      <w:pPr>
        <w:pStyle w:val="20"/>
        <w:numPr>
          <w:ilvl w:val="0"/>
          <w:numId w:val="2"/>
        </w:numPr>
        <w:spacing w:beforeLines="50" w:afterLines="50" w:line="360" w:lineRule="auto"/>
        <w:ind w:firstLineChars="0"/>
        <w:rPr>
          <w:rFonts w:ascii="Times New Roman" w:hAnsi="黑体" w:eastAsia="黑体" w:cs="Times New Roman"/>
          <w:sz w:val="28"/>
          <w:szCs w:val="28"/>
        </w:rPr>
      </w:pPr>
      <w:bookmarkStart w:id="2" w:name="_Toc467828977"/>
      <w:r>
        <w:rPr>
          <w:rFonts w:hint="eastAsia" w:ascii="Times New Roman" w:hAnsi="黑体" w:eastAsia="黑体" w:cs="Times New Roman"/>
          <w:sz w:val="28"/>
          <w:szCs w:val="28"/>
        </w:rPr>
        <w:t>参编单位</w:t>
      </w:r>
      <w:bookmarkEnd w:id="2"/>
    </w:p>
    <w:p>
      <w:pPr>
        <w:spacing w:line="360" w:lineRule="auto"/>
        <w:ind w:firstLine="560" w:firstLineChars="200"/>
        <w:rPr>
          <w:rFonts w:ascii="Times New Roman"/>
          <w:sz w:val="28"/>
          <w:szCs w:val="28"/>
        </w:rPr>
      </w:pPr>
      <w:r>
        <w:rPr>
          <w:rFonts w:hint="eastAsia"/>
          <w:sz w:val="28"/>
          <w:szCs w:val="28"/>
        </w:rPr>
        <w:t>本标准由   提出并</w:t>
      </w:r>
      <w:r>
        <w:rPr>
          <w:sz w:val="28"/>
          <w:szCs w:val="28"/>
        </w:rPr>
        <w:t>归口</w:t>
      </w:r>
      <w:r>
        <w:rPr>
          <w:rFonts w:hint="eastAsia" w:ascii="Times New Roman"/>
          <w:sz w:val="28"/>
          <w:szCs w:val="28"/>
        </w:rPr>
        <w:t>，起草单位有中国建材检验认证集团股份有限公司、等。</w:t>
      </w:r>
    </w:p>
    <w:p>
      <w:pPr>
        <w:pStyle w:val="20"/>
        <w:numPr>
          <w:ilvl w:val="0"/>
          <w:numId w:val="2"/>
        </w:numPr>
        <w:spacing w:beforeLines="50" w:afterLines="50" w:line="360" w:lineRule="auto"/>
        <w:ind w:left="357" w:hanging="357" w:firstLineChars="0"/>
        <w:rPr>
          <w:rFonts w:ascii="Times New Roman" w:hAnsi="黑体" w:eastAsia="黑体" w:cs="Times New Roman"/>
          <w:sz w:val="28"/>
          <w:szCs w:val="28"/>
        </w:rPr>
      </w:pPr>
      <w:bookmarkStart w:id="3" w:name="_Toc467828979"/>
      <w:r>
        <w:rPr>
          <w:rFonts w:hint="eastAsia" w:ascii="Times New Roman" w:hAnsi="黑体" w:eastAsia="黑体" w:cs="Times New Roman"/>
          <w:sz w:val="28"/>
          <w:szCs w:val="28"/>
        </w:rPr>
        <w:t>工作过程</w:t>
      </w:r>
      <w:bookmarkEnd w:id="3"/>
    </w:p>
    <w:p>
      <w:pPr>
        <w:spacing w:line="360" w:lineRule="auto"/>
        <w:ind w:firstLine="560" w:firstLineChars="200"/>
        <w:rPr>
          <w:rFonts w:ascii="Times New Roman"/>
          <w:sz w:val="28"/>
          <w:szCs w:val="28"/>
        </w:rPr>
      </w:pPr>
      <w:r>
        <w:rPr>
          <w:rFonts w:hint="eastAsia" w:ascii="Times New Roman"/>
          <w:sz w:val="28"/>
          <w:szCs w:val="28"/>
        </w:rPr>
        <w:t>我国水泥企业的余热发电系统普遍采用二炉一机的布置方式，在窑头篦冷机旁就近露天布置AQC和ASH余热锅炉，AQC锅炉产生饱和蒸汽；在窑尾预热器旁布置SP余热锅炉，同样产生饱和蒸汽，饱和蒸汽混合后经ASH过热后将过热蒸汽通过蒸汽母管送入汽轮机，由汽轮机带动发电机发电。</w:t>
      </w:r>
    </w:p>
    <w:p>
      <w:pPr>
        <w:spacing w:line="360" w:lineRule="auto"/>
        <w:ind w:firstLine="560" w:firstLineChars="200"/>
        <w:rPr>
          <w:rFonts w:ascii="Times New Roman"/>
          <w:sz w:val="28"/>
          <w:szCs w:val="28"/>
        </w:rPr>
      </w:pPr>
      <w:r>
        <w:rPr>
          <w:rFonts w:hint="eastAsia" w:ascii="Times New Roman"/>
          <w:sz w:val="28"/>
          <w:szCs w:val="28"/>
        </w:rPr>
        <w:t>目前水泥企业余热发电系统安全操作规程的编制主要有两个思路：一是从设备设施方面，针对具体的设备制定相应的安全操作规程。虽然说水泥企业采用的都是纯低温余热发电，但是经过多年的发展，我国的余热发电技术已经有了很大程度的提高，目前使用的有第一、二代，甚至第三代发电技术，加之施工的厂家不同，各个企业的余热发电设备也略有不同，但大致基本相同。</w:t>
      </w:r>
    </w:p>
    <w:p>
      <w:pPr>
        <w:spacing w:line="360" w:lineRule="auto"/>
        <w:ind w:firstLine="560" w:firstLineChars="200"/>
        <w:rPr>
          <w:rFonts w:ascii="Times New Roman"/>
          <w:sz w:val="28"/>
          <w:szCs w:val="28"/>
        </w:rPr>
      </w:pPr>
      <w:r>
        <w:rPr>
          <w:rFonts w:hint="eastAsia" w:ascii="Times New Roman"/>
          <w:sz w:val="28"/>
          <w:szCs w:val="28"/>
        </w:rPr>
        <w:t>第二种思路是按照作业人员的分类，针对不同的人员制定岗位安全操作规程。由于各个企业的人员编制、岗位编制不一，导致人员的分类方法多种多样，比较难以统一。</w:t>
      </w:r>
    </w:p>
    <w:p>
      <w:pPr>
        <w:spacing w:line="360" w:lineRule="auto"/>
        <w:ind w:firstLine="560" w:firstLineChars="200"/>
        <w:rPr>
          <w:rFonts w:ascii="Times New Roman"/>
          <w:sz w:val="28"/>
          <w:szCs w:val="28"/>
        </w:rPr>
      </w:pPr>
      <w:r>
        <w:rPr>
          <w:rFonts w:hint="eastAsia" w:ascii="Times New Roman"/>
          <w:sz w:val="28"/>
          <w:szCs w:val="28"/>
        </w:rPr>
        <w:t>2015年11月，任务组组织行业专家召开了标准编写的报告会，就上述两种情况展开讨论决定，标准的编写思路按照设备进行，对系统涉及到的主机设备（余热锅炉及其系统、汽轮机及其系统）、辅助设备（冷却塔、软水装置、加药装置）、中控操作人员、水质分析人员等部分提出安全方面的要求。</w:t>
      </w:r>
    </w:p>
    <w:p>
      <w:pPr>
        <w:spacing w:line="360" w:lineRule="auto"/>
        <w:ind w:firstLine="560" w:firstLineChars="200"/>
        <w:rPr>
          <w:rFonts w:ascii="Times New Roman" w:hAnsi="黑体" w:eastAsia="黑体" w:cs="Times New Roman"/>
          <w:sz w:val="28"/>
          <w:szCs w:val="28"/>
        </w:rPr>
      </w:pPr>
      <w:r>
        <w:rPr>
          <w:rFonts w:hint="eastAsia" w:ascii="Times New Roman"/>
          <w:sz w:val="28"/>
          <w:szCs w:val="28"/>
        </w:rPr>
        <w:t>随后任务组就水泥企业对余热发电系统的管理开展了调研，主要调研的企业有华润水泥、拉法基水泥、海螺水泥以及中联水泥等。通过对调研对象的安全管理，形成了标准的初稿。并通过通讯咨询的形式征求了部分行业专家的意见，最终使任务组能够顺利完成标准的制定工作。</w:t>
      </w:r>
    </w:p>
    <w:p>
      <w:pPr>
        <w:pStyle w:val="20"/>
        <w:numPr>
          <w:ilvl w:val="0"/>
          <w:numId w:val="2"/>
        </w:numPr>
        <w:spacing w:beforeLines="50" w:afterLines="50" w:line="360" w:lineRule="auto"/>
        <w:ind w:left="357" w:hanging="357" w:firstLineChars="0"/>
        <w:rPr>
          <w:rFonts w:ascii="Times New Roman" w:hAnsi="黑体" w:eastAsia="黑体" w:cs="Times New Roman"/>
          <w:sz w:val="28"/>
          <w:szCs w:val="28"/>
        </w:rPr>
      </w:pPr>
      <w:bookmarkStart w:id="4" w:name="_Toc467828980"/>
      <w:r>
        <w:rPr>
          <w:rFonts w:hint="eastAsia" w:ascii="Times New Roman" w:hAnsi="黑体" w:eastAsia="黑体" w:cs="Times New Roman"/>
          <w:sz w:val="28"/>
          <w:szCs w:val="28"/>
        </w:rPr>
        <w:t>标准的主要内容</w:t>
      </w:r>
      <w:bookmarkEnd w:id="4"/>
    </w:p>
    <w:p>
      <w:pPr>
        <w:spacing w:line="360" w:lineRule="auto"/>
        <w:ind w:firstLine="560" w:firstLineChars="200"/>
        <w:rPr>
          <w:rFonts w:ascii="Times New Roman"/>
          <w:sz w:val="28"/>
          <w:szCs w:val="28"/>
        </w:rPr>
      </w:pPr>
      <w:r>
        <w:rPr>
          <w:rFonts w:hint="eastAsia" w:ascii="Times New Roman"/>
          <w:sz w:val="28"/>
          <w:szCs w:val="28"/>
        </w:rPr>
        <w:t>本标准规定了水泥窑余热发电系统的基本要求，主机及辅助设备、中控操作人员、水质分析人员的安全操作要求、应急处理。</w:t>
      </w:r>
    </w:p>
    <w:p>
      <w:pPr>
        <w:spacing w:line="360" w:lineRule="auto"/>
        <w:ind w:firstLine="560" w:firstLineChars="200"/>
        <w:rPr>
          <w:rFonts w:ascii="Times New Roman"/>
          <w:sz w:val="28"/>
          <w:szCs w:val="28"/>
        </w:rPr>
      </w:pPr>
      <w:r>
        <w:rPr>
          <w:rFonts w:hint="eastAsia" w:ascii="Times New Roman"/>
          <w:sz w:val="28"/>
          <w:szCs w:val="28"/>
        </w:rPr>
        <w:t>标准分为基本要求、</w:t>
      </w:r>
      <w:bookmarkStart w:id="5" w:name="_Toc465876918"/>
      <w:r>
        <w:rPr>
          <w:rFonts w:hint="eastAsia" w:ascii="Times New Roman"/>
          <w:sz w:val="28"/>
          <w:szCs w:val="28"/>
        </w:rPr>
        <w:t>余热锅炉及系统</w:t>
      </w:r>
      <w:bookmarkEnd w:id="5"/>
      <w:r>
        <w:rPr>
          <w:rFonts w:hint="eastAsia" w:ascii="Times New Roman"/>
          <w:sz w:val="28"/>
          <w:szCs w:val="28"/>
        </w:rPr>
        <w:t>、</w:t>
      </w:r>
      <w:bookmarkStart w:id="6" w:name="_Toc432186758"/>
      <w:bookmarkStart w:id="7" w:name="_Toc438369544"/>
      <w:bookmarkStart w:id="8" w:name="_Toc432186710"/>
      <w:bookmarkStart w:id="9" w:name="_Toc438369478"/>
      <w:bookmarkStart w:id="10" w:name="_Toc432186801"/>
      <w:bookmarkStart w:id="11" w:name="_Toc464421106"/>
      <w:bookmarkStart w:id="12" w:name="_Toc465876921"/>
      <w:bookmarkStart w:id="13" w:name="_Toc464421150"/>
      <w:r>
        <w:rPr>
          <w:rFonts w:hint="eastAsia" w:ascii="Times New Roman"/>
          <w:sz w:val="28"/>
          <w:szCs w:val="28"/>
        </w:rPr>
        <w:t>汽轮机设备及系统</w:t>
      </w:r>
      <w:bookmarkEnd w:id="6"/>
      <w:bookmarkEnd w:id="7"/>
      <w:bookmarkEnd w:id="8"/>
      <w:bookmarkEnd w:id="9"/>
      <w:bookmarkEnd w:id="10"/>
      <w:bookmarkEnd w:id="11"/>
      <w:bookmarkEnd w:id="12"/>
      <w:bookmarkEnd w:id="13"/>
      <w:r>
        <w:rPr>
          <w:rFonts w:hint="eastAsia" w:ascii="Times New Roman"/>
          <w:sz w:val="28"/>
          <w:szCs w:val="28"/>
        </w:rPr>
        <w:t>、辅助设备、中控操作及水质分析人员以及应急处理等六个方面内容。</w:t>
      </w:r>
    </w:p>
    <w:p>
      <w:pPr>
        <w:spacing w:line="360" w:lineRule="auto"/>
        <w:ind w:firstLine="560" w:firstLineChars="200"/>
        <w:rPr>
          <w:rFonts w:ascii="Times New Roman"/>
          <w:sz w:val="28"/>
          <w:szCs w:val="28"/>
        </w:rPr>
      </w:pPr>
      <w:r>
        <w:rPr>
          <w:rFonts w:hint="eastAsia" w:ascii="Times New Roman"/>
          <w:sz w:val="28"/>
          <w:szCs w:val="28"/>
        </w:rPr>
        <w:t>标准首先对建章立制方面提出了要求，对余热发电系统的作业人员（巡检人员、中控操作人员、水质分析人员等）在作业过程中应注意的事项提出了要求。同时对劳动防护用品的配备、警示标识的设置、作业许可等方面做了规定。</w:t>
      </w:r>
    </w:p>
    <w:p>
      <w:pPr>
        <w:spacing w:line="360" w:lineRule="auto"/>
        <w:ind w:firstLine="560" w:firstLineChars="200"/>
        <w:rPr>
          <w:rFonts w:ascii="Times New Roman"/>
          <w:sz w:val="28"/>
          <w:szCs w:val="28"/>
        </w:rPr>
      </w:pPr>
      <w:r>
        <w:rPr>
          <w:rFonts w:hint="eastAsia" w:ascii="Times New Roman"/>
          <w:sz w:val="28"/>
          <w:szCs w:val="28"/>
        </w:rPr>
        <w:t>余热锅炉及系统、汽轮机设备及系统，是依据GB 50588-2010《</w:t>
      </w:r>
      <w:r>
        <w:rPr>
          <w:rFonts w:ascii="Times New Roman"/>
          <w:sz w:val="28"/>
          <w:szCs w:val="28"/>
        </w:rPr>
        <w:t>水泥工厂余热发电设计规范</w:t>
      </w:r>
      <w:r>
        <w:rPr>
          <w:rFonts w:hint="eastAsia" w:ascii="Times New Roman"/>
          <w:sz w:val="28"/>
          <w:szCs w:val="28"/>
        </w:rPr>
        <w:t>》中的分类方法。余热锅炉及系统涉及的设备主要为窑头、窑尾余热锅炉；汽轮机设备及系统涉及的设备主要包括汽轮机组、给水系统及给水泵、除氧器及给水箱、凝结水系统及凝结水泵以及凝汽器及其辅助设施。标准从锅炉、汽轮机启动前的检查项目、启动后的注意事项两个方面进行安全方面的要求。</w:t>
      </w:r>
    </w:p>
    <w:p>
      <w:pPr>
        <w:spacing w:line="360" w:lineRule="auto"/>
        <w:ind w:firstLine="560" w:firstLineChars="200"/>
        <w:rPr>
          <w:rFonts w:ascii="Times New Roman"/>
          <w:sz w:val="28"/>
          <w:szCs w:val="28"/>
        </w:rPr>
      </w:pPr>
      <w:r>
        <w:rPr>
          <w:rFonts w:hint="eastAsia" w:ascii="Times New Roman"/>
          <w:sz w:val="28"/>
          <w:szCs w:val="28"/>
        </w:rPr>
        <w:t>辅助设备主要涉及冷却塔、软水装置和加药装置。</w:t>
      </w:r>
    </w:p>
    <w:p>
      <w:pPr>
        <w:spacing w:line="360" w:lineRule="auto"/>
        <w:ind w:firstLine="560" w:firstLineChars="200"/>
        <w:rPr>
          <w:rFonts w:ascii="Times New Roman"/>
          <w:sz w:val="28"/>
          <w:szCs w:val="28"/>
        </w:rPr>
      </w:pPr>
      <w:r>
        <w:rPr>
          <w:rFonts w:hint="eastAsia" w:ascii="Times New Roman"/>
          <w:sz w:val="28"/>
          <w:szCs w:val="28"/>
        </w:rPr>
        <w:t>除了在基本要求中对作业人员提出要求外，标准还从安全要求、紧急故障停车两个方面针对中控操作人员做出规定；从操作前的检查、操作中的注意事项、操作后的注意事项三个方面对水质分析人员做出规定。</w:t>
      </w:r>
    </w:p>
    <w:p>
      <w:pPr>
        <w:spacing w:line="360" w:lineRule="auto"/>
        <w:ind w:firstLine="560" w:firstLineChars="200"/>
        <w:rPr>
          <w:rFonts w:ascii="Times New Roman"/>
          <w:sz w:val="28"/>
          <w:szCs w:val="28"/>
        </w:rPr>
      </w:pPr>
      <w:r>
        <w:rPr>
          <w:rFonts w:hint="eastAsia" w:ascii="Times New Roman"/>
          <w:sz w:val="28"/>
          <w:szCs w:val="28"/>
        </w:rPr>
        <w:t>标准的最后对应急处理做出了规定，即发生事故时，现场人员应立即报告班组长或上级领导，立刻启动应急预案。现场救助完毕后，应保护好现场，并配合事故调查。</w:t>
      </w:r>
    </w:p>
    <w:p>
      <w:pPr>
        <w:pStyle w:val="20"/>
        <w:numPr>
          <w:ilvl w:val="0"/>
          <w:numId w:val="2"/>
        </w:numPr>
        <w:spacing w:beforeLines="50" w:afterLines="50" w:line="360" w:lineRule="auto"/>
        <w:ind w:left="357" w:hanging="357" w:firstLineChars="0"/>
        <w:rPr>
          <w:rFonts w:ascii="Times New Roman" w:hAnsi="黑体" w:eastAsia="黑体" w:cs="Times New Roman"/>
          <w:sz w:val="28"/>
          <w:szCs w:val="28"/>
        </w:rPr>
      </w:pPr>
      <w:bookmarkStart w:id="14" w:name="_Toc467828982"/>
      <w:r>
        <w:rPr>
          <w:rFonts w:hint="eastAsia" w:ascii="Times New Roman" w:hAnsi="黑体" w:eastAsia="黑体" w:cs="Times New Roman"/>
          <w:sz w:val="28"/>
          <w:szCs w:val="28"/>
        </w:rPr>
        <w:t>标准执行要求</w:t>
      </w:r>
      <w:bookmarkEnd w:id="14"/>
    </w:p>
    <w:p>
      <w:pPr>
        <w:pStyle w:val="18"/>
        <w:spacing w:line="360" w:lineRule="auto"/>
        <w:ind w:left="360" w:firstLine="0" w:firstLineChars="0"/>
      </w:pPr>
      <w:r>
        <w:rPr>
          <w:rFonts w:hint="eastAsia" w:ascii="Times New Roman"/>
          <w:sz w:val="28"/>
          <w:szCs w:val="28"/>
        </w:rPr>
        <w:t>本标准为新制定标准，建议标准发布后设立6个月的过渡期。</w:t>
      </w:r>
    </w:p>
    <w:p>
      <w:pPr>
        <w:pStyle w:val="20"/>
        <w:numPr>
          <w:ilvl w:val="0"/>
          <w:numId w:val="2"/>
        </w:numPr>
        <w:spacing w:beforeLines="50" w:afterLines="50" w:line="360" w:lineRule="auto"/>
        <w:ind w:left="357" w:hanging="357" w:firstLineChars="0"/>
        <w:rPr>
          <w:rFonts w:ascii="Times New Roman" w:hAnsi="黑体" w:eastAsia="黑体" w:cs="Times New Roman"/>
          <w:sz w:val="28"/>
          <w:szCs w:val="28"/>
        </w:rPr>
      </w:pPr>
      <w:bookmarkStart w:id="15" w:name="_Toc467828984"/>
      <w:r>
        <w:rPr>
          <w:rFonts w:hint="eastAsia" w:ascii="Times New Roman" w:hAnsi="黑体" w:eastAsia="黑体" w:cs="Times New Roman"/>
          <w:sz w:val="28"/>
          <w:szCs w:val="28"/>
        </w:rPr>
        <w:t>其它应予说明的事项</w:t>
      </w:r>
      <w:bookmarkEnd w:id="15"/>
    </w:p>
    <w:p>
      <w:pPr>
        <w:pStyle w:val="18"/>
        <w:spacing w:line="360" w:lineRule="auto"/>
        <w:ind w:left="360" w:firstLine="0" w:firstLineChars="0"/>
        <w:rPr>
          <w:rFonts w:ascii="Times New Roman"/>
        </w:rPr>
      </w:pPr>
      <w:r>
        <w:rPr>
          <w:rFonts w:hint="eastAsia" w:ascii="Times New Roman"/>
          <w:sz w:val="28"/>
          <w:szCs w:val="28"/>
        </w:rPr>
        <w:t>无。</w:t>
      </w:r>
    </w:p>
    <w:p>
      <w:pPr>
        <w:jc w:val="center"/>
        <w:rPr>
          <w:rFonts w:ascii="黑体" w:eastAsia="黑体"/>
          <w:sz w:val="32"/>
          <w:szCs w:val="32"/>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927550"/>
    </w:sdtPr>
    <w:sdtContent>
      <w:p>
        <w:pPr>
          <w:pStyle w:val="5"/>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927552"/>
    </w:sdtPr>
    <w:sdtContent>
      <w:p>
        <w:pPr>
          <w:pStyle w:val="5"/>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927546"/>
    </w:sdtPr>
    <w:sdtContent>
      <w:p>
        <w:pPr>
          <w:pStyle w:val="5"/>
          <w:jc w:val="right"/>
        </w:pPr>
      </w:p>
    </w:sdtContent>
  </w:sdt>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2269"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
      <w:suff w:val="nothing"/>
      <w:lvlText w:val="%1.%2.%3　"/>
      <w:lvlJc w:val="left"/>
      <w:pPr>
        <w:ind w:left="0" w:firstLine="0"/>
      </w:pPr>
      <w:rPr>
        <w:rFonts w:hint="eastAsia" w:ascii="黑体" w:hAnsi="Times New Roman" w:eastAsia="黑体"/>
        <w:b w:val="0"/>
        <w:i w:val="0"/>
        <w:sz w:val="21"/>
      </w:rPr>
    </w:lvl>
    <w:lvl w:ilvl="3" w:tentative="0">
      <w:start w:val="1"/>
      <w:numFmt w:val="decimal"/>
      <w:pStyle w:val="24"/>
      <w:suff w:val="nothing"/>
      <w:lvlText w:val="%1.%2.%3.%4　"/>
      <w:lvlJc w:val="left"/>
      <w:pPr>
        <w:ind w:left="284"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1094983"/>
    <w:multiLevelType w:val="multilevel"/>
    <w:tmpl w:val="71094983"/>
    <w:lvl w:ilvl="0" w:tentative="0">
      <w:start w:val="1"/>
      <w:numFmt w:val="decimal"/>
      <w:lvlText w:val="%1."/>
      <w:lvlJc w:val="left"/>
      <w:pPr>
        <w:ind w:left="360" w:hanging="360"/>
      </w:pPr>
      <w:rPr>
        <w:rFonts w:hint="default"/>
      </w:rPr>
    </w:lvl>
    <w:lvl w:ilvl="1" w:tentative="0">
      <w:start w:val="3"/>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0B8D"/>
    <w:rsid w:val="000003C9"/>
    <w:rsid w:val="0001318D"/>
    <w:rsid w:val="000232FC"/>
    <w:rsid w:val="00070B8D"/>
    <w:rsid w:val="00075AD6"/>
    <w:rsid w:val="00097A8A"/>
    <w:rsid w:val="000B6957"/>
    <w:rsid w:val="00124C77"/>
    <w:rsid w:val="001E204D"/>
    <w:rsid w:val="00201916"/>
    <w:rsid w:val="00222735"/>
    <w:rsid w:val="0028614C"/>
    <w:rsid w:val="002A0696"/>
    <w:rsid w:val="00314488"/>
    <w:rsid w:val="0033549B"/>
    <w:rsid w:val="003B3285"/>
    <w:rsid w:val="003E3DF2"/>
    <w:rsid w:val="003E5DD1"/>
    <w:rsid w:val="003F549D"/>
    <w:rsid w:val="00406628"/>
    <w:rsid w:val="00430E0F"/>
    <w:rsid w:val="004437AB"/>
    <w:rsid w:val="0047138A"/>
    <w:rsid w:val="00555456"/>
    <w:rsid w:val="00577C9D"/>
    <w:rsid w:val="00611FFD"/>
    <w:rsid w:val="00612CE0"/>
    <w:rsid w:val="00614D0A"/>
    <w:rsid w:val="00693F83"/>
    <w:rsid w:val="006A6E89"/>
    <w:rsid w:val="00724042"/>
    <w:rsid w:val="007B2D4B"/>
    <w:rsid w:val="0080251B"/>
    <w:rsid w:val="0081310A"/>
    <w:rsid w:val="0088411C"/>
    <w:rsid w:val="008B451D"/>
    <w:rsid w:val="008C4B1A"/>
    <w:rsid w:val="008D6E28"/>
    <w:rsid w:val="00946EBB"/>
    <w:rsid w:val="009945BF"/>
    <w:rsid w:val="009D35A0"/>
    <w:rsid w:val="00A3722C"/>
    <w:rsid w:val="00B02725"/>
    <w:rsid w:val="00C124DB"/>
    <w:rsid w:val="00C218BF"/>
    <w:rsid w:val="00C5505E"/>
    <w:rsid w:val="00C72CC9"/>
    <w:rsid w:val="00C94CDF"/>
    <w:rsid w:val="00CF1E6C"/>
    <w:rsid w:val="00D35959"/>
    <w:rsid w:val="00D70D57"/>
    <w:rsid w:val="00D93FBF"/>
    <w:rsid w:val="00DF0031"/>
    <w:rsid w:val="00DF7C7B"/>
    <w:rsid w:val="00E2740A"/>
    <w:rsid w:val="00E62DB5"/>
    <w:rsid w:val="00EF42A7"/>
    <w:rsid w:val="00F01FD5"/>
    <w:rsid w:val="00F5776B"/>
    <w:rsid w:val="00F7295B"/>
    <w:rsid w:val="00F76C2F"/>
    <w:rsid w:val="15727822"/>
    <w:rsid w:val="3D574B0C"/>
    <w:rsid w:val="71113CD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9"/>
    <w:pPr>
      <w:keepNext/>
      <w:keepLines/>
      <w:spacing w:before="340" w:after="330" w:line="480" w:lineRule="auto"/>
      <w:ind w:firstLine="200" w:firstLineChars="200"/>
      <w:outlineLvl w:val="0"/>
    </w:pPr>
    <w:rPr>
      <w:rFonts w:ascii="Calibri" w:hAnsi="Calibri" w:eastAsia="宋体" w:cs="Times New Roman"/>
      <w:b/>
      <w:bCs/>
      <w:kern w:val="44"/>
      <w:sz w:val="28"/>
      <w:szCs w:val="44"/>
    </w:rPr>
  </w:style>
  <w:style w:type="paragraph" w:styleId="3">
    <w:name w:val="heading 2"/>
    <w:basedOn w:val="1"/>
    <w:next w:val="1"/>
    <w:link w:val="14"/>
    <w:qFormat/>
    <w:uiPriority w:val="99"/>
    <w:pPr>
      <w:keepNext/>
      <w:keepLines/>
      <w:spacing w:before="260" w:after="260" w:line="416" w:lineRule="auto"/>
      <w:ind w:firstLine="200" w:firstLineChars="200"/>
      <w:outlineLvl w:val="1"/>
    </w:pPr>
    <w:rPr>
      <w:rFonts w:ascii="Cambria" w:hAnsi="Cambria" w:eastAsia="宋体" w:cs="Times New Roman"/>
      <w:b/>
      <w:bCs/>
      <w:sz w:val="24"/>
      <w:szCs w:val="32"/>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7"/>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pPr>
      <w:ind w:firstLine="200" w:firstLineChars="200"/>
    </w:pPr>
    <w:rPr>
      <w:rFonts w:ascii="Calibri" w:hAnsi="Calibri" w:eastAsia="宋体" w:cs="Times New Roman"/>
      <w:sz w:val="28"/>
    </w:rPr>
  </w:style>
  <w:style w:type="character" w:styleId="9">
    <w:name w:val="Hyperlink"/>
    <w:basedOn w:val="8"/>
    <w:qFormat/>
    <w:uiPriority w:val="99"/>
    <w:rPr>
      <w:rFonts w:cs="Times New Roman"/>
      <w:color w:val="0000FF"/>
      <w:u w:val="single"/>
    </w:rPr>
  </w:style>
  <w:style w:type="character" w:customStyle="1" w:styleId="11">
    <w:name w:val="页眉 Char"/>
    <w:basedOn w:val="8"/>
    <w:link w:val="6"/>
    <w:semiHidden/>
    <w:uiPriority w:val="99"/>
    <w:rPr>
      <w:sz w:val="18"/>
      <w:szCs w:val="18"/>
    </w:rPr>
  </w:style>
  <w:style w:type="character" w:customStyle="1" w:styleId="12">
    <w:name w:val="页脚 Char"/>
    <w:basedOn w:val="8"/>
    <w:link w:val="5"/>
    <w:uiPriority w:val="99"/>
    <w:rPr>
      <w:sz w:val="18"/>
      <w:szCs w:val="18"/>
    </w:rPr>
  </w:style>
  <w:style w:type="character" w:customStyle="1" w:styleId="13">
    <w:name w:val="标题 1 Char"/>
    <w:basedOn w:val="8"/>
    <w:link w:val="2"/>
    <w:uiPriority w:val="99"/>
    <w:rPr>
      <w:rFonts w:ascii="Calibri" w:hAnsi="Calibri" w:eastAsia="宋体" w:cs="Times New Roman"/>
      <w:b/>
      <w:bCs/>
      <w:kern w:val="44"/>
      <w:sz w:val="28"/>
      <w:szCs w:val="44"/>
    </w:rPr>
  </w:style>
  <w:style w:type="character" w:customStyle="1" w:styleId="14">
    <w:name w:val="标题 2 Char"/>
    <w:basedOn w:val="8"/>
    <w:link w:val="3"/>
    <w:uiPriority w:val="99"/>
    <w:rPr>
      <w:rFonts w:ascii="Cambria" w:hAnsi="Cambria" w:eastAsia="宋体" w:cs="Times New Roman"/>
      <w:b/>
      <w:bCs/>
      <w:sz w:val="24"/>
      <w:szCs w:val="32"/>
    </w:rPr>
  </w:style>
  <w:style w:type="paragraph" w:customStyle="1" w:styleId="15">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6">
    <w:name w:val="封面标准文稿类别"/>
    <w:uiPriority w:val="99"/>
    <w:pPr>
      <w:spacing w:before="440" w:line="400" w:lineRule="exact"/>
      <w:jc w:val="center"/>
    </w:pPr>
    <w:rPr>
      <w:rFonts w:ascii="宋体" w:hAnsi="Times New Roman" w:eastAsia="宋体" w:cs="Times New Roman"/>
      <w:kern w:val="0"/>
      <w:sz w:val="24"/>
      <w:szCs w:val="20"/>
      <w:lang w:val="en-US" w:eastAsia="zh-CN" w:bidi="ar-SA"/>
    </w:rPr>
  </w:style>
  <w:style w:type="character" w:customStyle="1" w:styleId="17">
    <w:name w:val="批注框文本 Char"/>
    <w:basedOn w:val="8"/>
    <w:link w:val="4"/>
    <w:semiHidden/>
    <w:qFormat/>
    <w:uiPriority w:val="99"/>
    <w:rPr>
      <w:sz w:val="18"/>
      <w:szCs w:val="18"/>
    </w:rPr>
  </w:style>
  <w:style w:type="paragraph" w:customStyle="1" w:styleId="18">
    <w:name w:val="段"/>
    <w:link w:val="19"/>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9">
    <w:name w:val="段 Char"/>
    <w:basedOn w:val="8"/>
    <w:link w:val="18"/>
    <w:uiPriority w:val="0"/>
    <w:rPr>
      <w:rFonts w:ascii="宋体" w:hAnsi="Times New Roman" w:eastAsia="宋体" w:cs="Times New Roman"/>
      <w:kern w:val="0"/>
      <w:szCs w:val="20"/>
    </w:rPr>
  </w:style>
  <w:style w:type="paragraph" w:customStyle="1" w:styleId="20">
    <w:name w:val="List Paragraph"/>
    <w:basedOn w:val="1"/>
    <w:qFormat/>
    <w:uiPriority w:val="34"/>
    <w:pPr>
      <w:ind w:firstLine="420" w:firstLineChars="200"/>
    </w:pPr>
  </w:style>
  <w:style w:type="paragraph" w:customStyle="1" w:styleId="21">
    <w:name w:val="一级条标题"/>
    <w:next w:val="18"/>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2">
    <w:name w:val="章标题"/>
    <w:next w:val="18"/>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3">
    <w:name w:val="二级条标题"/>
    <w:basedOn w:val="21"/>
    <w:next w:val="18"/>
    <w:uiPriority w:val="0"/>
    <w:pPr>
      <w:numPr>
        <w:ilvl w:val="2"/>
      </w:numPr>
      <w:spacing w:before="50" w:after="50"/>
      <w:outlineLvl w:val="3"/>
    </w:pPr>
  </w:style>
  <w:style w:type="paragraph" w:customStyle="1" w:styleId="24">
    <w:name w:val="三级条标题"/>
    <w:basedOn w:val="23"/>
    <w:next w:val="18"/>
    <w:uiPriority w:val="0"/>
    <w:pPr>
      <w:numPr>
        <w:ilvl w:val="3"/>
      </w:numPr>
      <w:outlineLvl w:val="4"/>
    </w:pPr>
  </w:style>
  <w:style w:type="paragraph" w:customStyle="1" w:styleId="25">
    <w:name w:val="四级条标题"/>
    <w:basedOn w:val="24"/>
    <w:next w:val="18"/>
    <w:uiPriority w:val="0"/>
    <w:pPr>
      <w:numPr>
        <w:ilvl w:val="4"/>
      </w:numPr>
      <w:outlineLvl w:val="5"/>
    </w:pPr>
  </w:style>
  <w:style w:type="paragraph" w:customStyle="1" w:styleId="26">
    <w:name w:val="五级条标题"/>
    <w:basedOn w:val="25"/>
    <w:next w:val="18"/>
    <w:uiPriority w:val="0"/>
    <w:pPr>
      <w:numPr>
        <w:ilvl w:val="5"/>
      </w:numPr>
      <w:outlineLvl w:val="6"/>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13A0F-8BF3-4F7F-9A48-9D222314518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318</Words>
  <Characters>1817</Characters>
  <Lines>15</Lines>
  <Paragraphs>4</Paragraphs>
  <TotalTime>0</TotalTime>
  <ScaleCrop>false</ScaleCrop>
  <LinksUpToDate>false</LinksUpToDate>
  <CharactersWithSpaces>2131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2016-11-28T09:15:00Z</dcterms:created>
  <dc:creator>nature</dc:creator>
  <cp:lastModifiedBy>wangxue</cp:lastModifiedBy>
  <dcterms:modified xsi:type="dcterms:W3CDTF">2016-12-02T03:08:58Z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