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85388968"/>
    <w:bookmarkStart w:id="1" w:name="_Toc480449166"/>
    <w:bookmarkStart w:id="2" w:name="_Toc485388066"/>
    <w:bookmarkStart w:id="3" w:name="_Toc485388810"/>
    <w:p w14:paraId="483B01EB" w14:textId="77777777" w:rsidR="00343617" w:rsidRPr="00746871" w:rsidRDefault="00343617" w:rsidP="00343617">
      <w:pPr>
        <w:ind w:firstLine="361"/>
        <w:rPr>
          <w:b/>
          <w:sz w:val="18"/>
          <w:szCs w:val="18"/>
        </w:rPr>
      </w:pPr>
      <w:r w:rsidRPr="00746871">
        <w:rPr>
          <w:b/>
          <w:noProof/>
          <w:sz w:val="18"/>
          <w:szCs w:val="18"/>
        </w:rPr>
        <mc:AlternateContent>
          <mc:Choice Requires="wps">
            <w:drawing>
              <wp:anchor distT="0" distB="0" distL="114300" distR="114300" simplePos="0" relativeHeight="251666432" behindDoc="0" locked="0" layoutInCell="1" allowOverlap="1" wp14:anchorId="5ACEF364" wp14:editId="505C360B">
                <wp:simplePos x="0" y="0"/>
                <wp:positionH relativeFrom="column">
                  <wp:posOffset>4457700</wp:posOffset>
                </wp:positionH>
                <wp:positionV relativeFrom="paragraph">
                  <wp:posOffset>0</wp:posOffset>
                </wp:positionV>
                <wp:extent cx="1485900" cy="891540"/>
                <wp:effectExtent l="0" t="0" r="0" b="0"/>
                <wp:wrapNone/>
                <wp:docPr id="7"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91540"/>
                        </a:xfrm>
                        <a:prstGeom prst="rect">
                          <a:avLst/>
                        </a:prstGeom>
                        <a:solidFill>
                          <a:srgbClr val="FFFFFF"/>
                        </a:solidFill>
                        <a:ln>
                          <a:noFill/>
                        </a:ln>
                        <a:effectLst/>
                      </wps:spPr>
                      <wps:txbx>
                        <w:txbxContent>
                          <w:p w14:paraId="57554140" w14:textId="77777777" w:rsidR="00B40BF7" w:rsidRDefault="00B40BF7" w:rsidP="00343617">
                            <w:pPr>
                              <w:ind w:firstLineChars="0" w:firstLine="0"/>
                              <w:jc w:val="left"/>
                              <w:rPr>
                                <w:rFonts w:ascii="黑体" w:eastAsia="黑体"/>
                                <w:b/>
                                <w:sz w:val="100"/>
                                <w:szCs w:val="100"/>
                              </w:rPr>
                            </w:pPr>
                            <w:r>
                              <w:rPr>
                                <w:rFonts w:ascii="黑体" w:eastAsia="黑体" w:hint="eastAsia"/>
                                <w:b/>
                                <w:sz w:val="100"/>
                                <w:szCs w:val="100"/>
                              </w:rPr>
                              <w:t>CBMF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EF364" id="_x0000_t202" coordsize="21600,21600" o:spt="202" path="m,l,21600r21600,l21600,xe">
                <v:stroke joinstyle="miter"/>
                <v:path gradientshapeok="t" o:connecttype="rect"/>
              </v:shapetype>
              <v:shape id="Text Box 396" o:spid="_x0000_s1026" type="#_x0000_t202" style="position:absolute;left:0;text-align:left;margin-left:351pt;margin-top:0;width:117pt;height:7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" stroked="f">
                <v:textbox>
                  <w:txbxContent>
                    <w:p w14:paraId="57554140" w14:textId="77777777" w:rsidR="00B40BF7" w:rsidRDefault="00B40BF7" w:rsidP="00343617">
                      <w:pPr>
                        <w:ind w:firstLineChars="0" w:firstLine="0"/>
                        <w:jc w:val="left"/>
                        <w:rPr>
                          <w:rFonts w:ascii="黑体" w:eastAsia="黑体"/>
                          <w:b/>
                          <w:sz w:val="100"/>
                          <w:szCs w:val="100"/>
                        </w:rPr>
                      </w:pPr>
                      <w:r>
                        <w:rPr>
                          <w:rFonts w:ascii="黑体" w:eastAsia="黑体" w:hint="eastAsia"/>
                          <w:b/>
                          <w:sz w:val="100"/>
                          <w:szCs w:val="100"/>
                        </w:rPr>
                        <w:t>CBMF</w:t>
                      </w:r>
                    </w:p>
                  </w:txbxContent>
                </v:textbox>
              </v:shape>
            </w:pict>
          </mc:Fallback>
        </mc:AlternateContent>
      </w:r>
      <w:r w:rsidRPr="00746871">
        <w:rPr>
          <w:b/>
          <w:sz w:val="18"/>
          <w:szCs w:val="18"/>
        </w:rPr>
        <w:t xml:space="preserve">ICS </w:t>
      </w:r>
      <w:r w:rsidRPr="00746871">
        <w:rPr>
          <w:rFonts w:hint="eastAsia"/>
          <w:b/>
          <w:sz w:val="18"/>
          <w:szCs w:val="18"/>
        </w:rPr>
        <w:t>13</w:t>
      </w:r>
      <w:r w:rsidRPr="00746871">
        <w:rPr>
          <w:b/>
          <w:sz w:val="18"/>
          <w:szCs w:val="18"/>
        </w:rPr>
        <w:t>.0</w:t>
      </w:r>
      <w:r w:rsidRPr="00746871">
        <w:rPr>
          <w:rFonts w:hint="eastAsia"/>
          <w:b/>
          <w:sz w:val="18"/>
          <w:szCs w:val="18"/>
        </w:rPr>
        <w:t>2</w:t>
      </w:r>
      <w:r w:rsidRPr="00746871">
        <w:rPr>
          <w:b/>
          <w:sz w:val="18"/>
          <w:szCs w:val="18"/>
        </w:rPr>
        <w:t>0</w:t>
      </w:r>
    </w:p>
    <w:p w14:paraId="1AC55CAE" w14:textId="77777777" w:rsidR="00343617" w:rsidRPr="00746871" w:rsidRDefault="00343617" w:rsidP="00343617">
      <w:pPr>
        <w:ind w:firstLine="361"/>
        <w:rPr>
          <w:b/>
          <w:sz w:val="18"/>
          <w:szCs w:val="18"/>
        </w:rPr>
      </w:pPr>
      <w:r w:rsidRPr="00746871">
        <w:rPr>
          <w:rFonts w:hint="eastAsia"/>
          <w:b/>
          <w:sz w:val="18"/>
          <w:szCs w:val="18"/>
        </w:rPr>
        <w:t>Z</w:t>
      </w:r>
      <w:r w:rsidRPr="00746871">
        <w:rPr>
          <w:b/>
          <w:sz w:val="18"/>
          <w:szCs w:val="18"/>
        </w:rPr>
        <w:t xml:space="preserve"> 0</w:t>
      </w:r>
      <w:r w:rsidRPr="00746871">
        <w:rPr>
          <w:rFonts w:hint="eastAsia"/>
          <w:b/>
          <w:sz w:val="18"/>
          <w:szCs w:val="18"/>
        </w:rPr>
        <w:t>0</w:t>
      </w:r>
    </w:p>
    <w:p w14:paraId="20813D8E" w14:textId="77777777" w:rsidR="00343617" w:rsidRPr="00746871" w:rsidRDefault="00343617" w:rsidP="00343617">
      <w:pPr>
        <w:ind w:firstLine="360"/>
        <w:rPr>
          <w:sz w:val="18"/>
          <w:szCs w:val="18"/>
        </w:rPr>
      </w:pPr>
    </w:p>
    <w:p w14:paraId="192328DC" w14:textId="77777777" w:rsidR="00343617" w:rsidRPr="00746871" w:rsidRDefault="00343617" w:rsidP="00343617">
      <w:pPr>
        <w:ind w:firstLine="360"/>
        <w:rPr>
          <w:sz w:val="18"/>
          <w:szCs w:val="18"/>
        </w:rPr>
      </w:pPr>
    </w:p>
    <w:p w14:paraId="74E34334" w14:textId="77777777" w:rsidR="00343617" w:rsidRPr="00746871" w:rsidRDefault="00343617" w:rsidP="00343617">
      <w:pPr>
        <w:ind w:firstLine="360"/>
        <w:rPr>
          <w:sz w:val="18"/>
          <w:szCs w:val="18"/>
        </w:rPr>
      </w:pPr>
    </w:p>
    <w:p w14:paraId="4D962670" w14:textId="77777777" w:rsidR="00343617" w:rsidRPr="00746871" w:rsidRDefault="00343617" w:rsidP="00343617">
      <w:pPr>
        <w:pStyle w:val="a9"/>
        <w:ind w:firstLineChars="0" w:firstLine="0"/>
        <w:jc w:val="distribute"/>
        <w:rPr>
          <w:rFonts w:eastAsia="宋体" w:hAnsi="宋体"/>
          <w:b/>
          <w:sz w:val="52"/>
          <w:szCs w:val="52"/>
        </w:rPr>
      </w:pPr>
      <w:r w:rsidRPr="00746871">
        <w:rPr>
          <w:rFonts w:eastAsia="宋体" w:hAnsi="宋体"/>
          <w:b/>
          <w:sz w:val="52"/>
          <w:szCs w:val="52"/>
        </w:rPr>
        <w:t>中国建筑材料协会标准</w:t>
      </w:r>
    </w:p>
    <w:p w14:paraId="144D7CF8" w14:textId="77777777" w:rsidR="00343617" w:rsidRPr="00746871" w:rsidRDefault="00343617" w:rsidP="00343617">
      <w:pPr>
        <w:pStyle w:val="a9"/>
        <w:ind w:rightChars="200" w:right="420" w:firstLineChars="0" w:firstLine="0"/>
        <w:jc w:val="right"/>
        <w:rPr>
          <w:rFonts w:ascii="Times New Roman" w:eastAsia="黑体"/>
          <w:b/>
          <w:color w:val="FF0000"/>
          <w:sz w:val="24"/>
          <w:szCs w:val="24"/>
        </w:rPr>
      </w:pPr>
      <w:r w:rsidRPr="00746871">
        <w:rPr>
          <w:rFonts w:ascii="Times New Roman" w:eastAsia="黑体"/>
          <w:b/>
          <w:sz w:val="24"/>
          <w:szCs w:val="24"/>
        </w:rPr>
        <w:t xml:space="preserve">      T/CBMF </w:t>
      </w:r>
      <w:r w:rsidRPr="00746871">
        <w:rPr>
          <w:rFonts w:ascii="Times New Roman" w:eastAsia="黑体" w:hint="eastAsia"/>
          <w:b/>
          <w:sz w:val="24"/>
          <w:szCs w:val="24"/>
        </w:rPr>
        <w:t>x</w:t>
      </w:r>
      <w:r w:rsidRPr="00746871">
        <w:rPr>
          <w:rFonts w:ascii="Times New Roman" w:eastAsia="黑体"/>
          <w:b/>
          <w:sz w:val="24"/>
          <w:szCs w:val="24"/>
        </w:rPr>
        <w:t>—</w:t>
      </w:r>
      <w:r w:rsidRPr="00746871">
        <w:rPr>
          <w:rFonts w:ascii="Times New Roman" w:eastAsia="黑体" w:hint="eastAsia"/>
          <w:b/>
          <w:color w:val="000000" w:themeColor="text1"/>
          <w:sz w:val="24"/>
          <w:szCs w:val="24"/>
        </w:rPr>
        <w:t>xxxx</w:t>
      </w:r>
    </w:p>
    <w:p w14:paraId="7BBFE73E" w14:textId="77777777" w:rsidR="00343617" w:rsidRPr="00746871" w:rsidRDefault="00343617" w:rsidP="00343617">
      <w:pPr>
        <w:pStyle w:val="a9"/>
        <w:ind w:rightChars="200" w:right="420" w:firstLineChars="0" w:firstLine="0"/>
        <w:rPr>
          <w:rFonts w:ascii="Times New Roman" w:eastAsia="黑体"/>
          <w:b/>
          <w:sz w:val="24"/>
          <w:szCs w:val="24"/>
        </w:rPr>
      </w:pPr>
      <w:r w:rsidRPr="00746871">
        <w:rPr>
          <w:rFonts w:ascii="Times New Roman"/>
          <w:noProof/>
          <w:sz w:val="18"/>
          <w:szCs w:val="18"/>
        </w:rPr>
        <mc:AlternateContent>
          <mc:Choice Requires="wps">
            <w:drawing>
              <wp:anchor distT="4294967295" distB="4294967295" distL="114300" distR="114300" simplePos="0" relativeHeight="251667456" behindDoc="0" locked="0" layoutInCell="1" allowOverlap="1" wp14:anchorId="7C92215A" wp14:editId="0D168657">
                <wp:simplePos x="0" y="0"/>
                <wp:positionH relativeFrom="column">
                  <wp:posOffset>38100</wp:posOffset>
                </wp:positionH>
                <wp:positionV relativeFrom="paragraph">
                  <wp:posOffset>97154</wp:posOffset>
                </wp:positionV>
                <wp:extent cx="6076950" cy="0"/>
                <wp:effectExtent l="0" t="0" r="0" b="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9CDDE" id="直接连接符 8"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7.65pt" to="48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QWLgIAADMEAAAOAAAAZHJzL2Uyb0RvYy54bWysU8GO0zAQvSPxD1bu3SQl7bZ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"/>
            </w:pict>
          </mc:Fallback>
        </mc:AlternateContent>
      </w:r>
    </w:p>
    <w:p w14:paraId="0C173BB9" w14:textId="77777777" w:rsidR="00343617" w:rsidRPr="00746871" w:rsidRDefault="00343617" w:rsidP="00343617">
      <w:pPr>
        <w:pStyle w:val="a9"/>
        <w:ind w:rightChars="-2" w:right="-4" w:firstLineChars="0" w:firstLine="0"/>
        <w:rPr>
          <w:rFonts w:ascii="Times New Roman" w:eastAsia="黑体"/>
          <w:b/>
          <w:sz w:val="24"/>
          <w:szCs w:val="24"/>
          <w:u w:val="single"/>
        </w:rPr>
      </w:pPr>
    </w:p>
    <w:p w14:paraId="725AE7F8" w14:textId="77777777" w:rsidR="00343617" w:rsidRPr="00746871" w:rsidRDefault="00343617" w:rsidP="00343617">
      <w:pPr>
        <w:pStyle w:val="a9"/>
        <w:ind w:firstLineChars="0" w:firstLine="0"/>
        <w:jc w:val="center"/>
        <w:rPr>
          <w:rFonts w:ascii="Times New Roman" w:eastAsia="黑体"/>
          <w:sz w:val="44"/>
          <w:szCs w:val="44"/>
        </w:rPr>
      </w:pPr>
    </w:p>
    <w:p w14:paraId="2482050A" w14:textId="77777777" w:rsidR="00343617" w:rsidRPr="00746871" w:rsidRDefault="00343617" w:rsidP="00343617">
      <w:pPr>
        <w:pStyle w:val="a9"/>
        <w:ind w:firstLineChars="0" w:firstLine="0"/>
        <w:jc w:val="center"/>
        <w:rPr>
          <w:rFonts w:ascii="Times New Roman" w:eastAsia="黑体"/>
          <w:sz w:val="44"/>
          <w:szCs w:val="44"/>
        </w:rPr>
      </w:pPr>
    </w:p>
    <w:p w14:paraId="2B08127F" w14:textId="77777777" w:rsidR="00343617" w:rsidRPr="00746871" w:rsidRDefault="00343617" w:rsidP="00343617">
      <w:pPr>
        <w:pStyle w:val="a9"/>
        <w:ind w:firstLineChars="0" w:firstLine="0"/>
        <w:jc w:val="center"/>
        <w:rPr>
          <w:rFonts w:ascii="Times New Roman" w:eastAsia="黑体"/>
          <w:sz w:val="44"/>
          <w:szCs w:val="44"/>
        </w:rPr>
      </w:pPr>
    </w:p>
    <w:p w14:paraId="5BDBDDDD" w14:textId="6A1F6236" w:rsidR="00343617" w:rsidRPr="00746871" w:rsidRDefault="00343617" w:rsidP="00343617">
      <w:pPr>
        <w:pStyle w:val="a9"/>
        <w:ind w:firstLineChars="0" w:firstLine="0"/>
        <w:jc w:val="center"/>
        <w:rPr>
          <w:rFonts w:ascii="Times New Roman" w:eastAsia="黑体"/>
          <w:noProof/>
          <w:sz w:val="44"/>
          <w:szCs w:val="44"/>
        </w:rPr>
      </w:pPr>
      <w:r w:rsidRPr="00746871">
        <w:rPr>
          <w:rFonts w:ascii="Times New Roman" w:eastAsia="黑体" w:hint="eastAsia"/>
          <w:noProof/>
          <w:sz w:val="44"/>
          <w:szCs w:val="44"/>
        </w:rPr>
        <w:t>预拌混凝土行业企业碳排放核查技术规范</w:t>
      </w:r>
    </w:p>
    <w:p w14:paraId="5E2E582F" w14:textId="5567B028" w:rsidR="00343617" w:rsidRDefault="00343617" w:rsidP="00343617">
      <w:pPr>
        <w:pStyle w:val="a9"/>
        <w:ind w:firstLineChars="0" w:firstLine="0"/>
        <w:jc w:val="center"/>
        <w:rPr>
          <w:rFonts w:ascii="Times New Roman"/>
          <w:b/>
          <w:sz w:val="24"/>
          <w:szCs w:val="24"/>
        </w:rPr>
      </w:pPr>
      <w:r w:rsidRPr="00746871">
        <w:rPr>
          <w:rFonts w:ascii="Times New Roman"/>
          <w:b/>
          <w:sz w:val="24"/>
          <w:szCs w:val="24"/>
        </w:rPr>
        <w:t>Technical Specifications for Greenhouse Gases Emissions Verification of Ready-mixed Concrete Enterprises</w:t>
      </w:r>
    </w:p>
    <w:p w14:paraId="05DDCE4B" w14:textId="55059368" w:rsidR="006F1A76" w:rsidRPr="00746871" w:rsidRDefault="006F1A76" w:rsidP="00343617">
      <w:pPr>
        <w:pStyle w:val="a9"/>
        <w:ind w:firstLineChars="0" w:firstLine="0"/>
        <w:jc w:val="center"/>
        <w:rPr>
          <w:rFonts w:ascii="Times New Roman"/>
          <w:b/>
          <w:sz w:val="24"/>
          <w:szCs w:val="24"/>
        </w:rPr>
      </w:pPr>
      <w:r>
        <w:rPr>
          <w:rFonts w:ascii="Times New Roman" w:hint="eastAsia"/>
          <w:b/>
          <w:sz w:val="24"/>
          <w:szCs w:val="24"/>
        </w:rPr>
        <w:t>（征求意见稿</w:t>
      </w:r>
      <w:bookmarkStart w:id="4" w:name="_GoBack"/>
      <w:bookmarkEnd w:id="4"/>
      <w:r>
        <w:rPr>
          <w:rFonts w:ascii="Times New Roman" w:hint="eastAsia"/>
          <w:b/>
          <w:sz w:val="24"/>
          <w:szCs w:val="24"/>
        </w:rPr>
        <w:t>）</w:t>
      </w:r>
    </w:p>
    <w:p w14:paraId="25AB5447" w14:textId="77777777" w:rsidR="00343617" w:rsidRPr="00746871" w:rsidRDefault="00343617" w:rsidP="00343617">
      <w:pPr>
        <w:pStyle w:val="a9"/>
        <w:ind w:firstLineChars="0" w:firstLine="0"/>
        <w:rPr>
          <w:rFonts w:ascii="Times New Roman"/>
          <w:sz w:val="18"/>
          <w:szCs w:val="18"/>
        </w:rPr>
      </w:pPr>
    </w:p>
    <w:p w14:paraId="38CCEADB" w14:textId="77777777" w:rsidR="00343617" w:rsidRPr="00746871" w:rsidRDefault="00343617" w:rsidP="00343617">
      <w:pPr>
        <w:pStyle w:val="a9"/>
        <w:ind w:firstLineChars="0" w:firstLine="0"/>
        <w:rPr>
          <w:rFonts w:ascii="Times New Roman"/>
          <w:sz w:val="18"/>
          <w:szCs w:val="18"/>
        </w:rPr>
      </w:pPr>
    </w:p>
    <w:p w14:paraId="519B11C8" w14:textId="77777777" w:rsidR="00343617" w:rsidRPr="00746871" w:rsidRDefault="00343617" w:rsidP="00343617">
      <w:pPr>
        <w:pStyle w:val="a9"/>
        <w:ind w:firstLineChars="0" w:firstLine="0"/>
        <w:rPr>
          <w:rFonts w:ascii="Times New Roman"/>
          <w:sz w:val="18"/>
          <w:szCs w:val="18"/>
        </w:rPr>
      </w:pPr>
    </w:p>
    <w:p w14:paraId="4505FC6C" w14:textId="77777777" w:rsidR="00343617" w:rsidRPr="00746871" w:rsidRDefault="00343617" w:rsidP="00343617">
      <w:pPr>
        <w:pStyle w:val="a9"/>
        <w:ind w:firstLineChars="0" w:firstLine="0"/>
        <w:rPr>
          <w:rFonts w:ascii="Times New Roman"/>
          <w:sz w:val="18"/>
          <w:szCs w:val="18"/>
        </w:rPr>
      </w:pPr>
    </w:p>
    <w:p w14:paraId="11B1A21D" w14:textId="77777777" w:rsidR="00343617" w:rsidRPr="00746871" w:rsidRDefault="00343617" w:rsidP="00343617">
      <w:pPr>
        <w:pStyle w:val="a9"/>
        <w:ind w:firstLineChars="0" w:firstLine="0"/>
        <w:rPr>
          <w:rFonts w:ascii="Times New Roman"/>
          <w:sz w:val="18"/>
          <w:szCs w:val="18"/>
        </w:rPr>
      </w:pPr>
    </w:p>
    <w:p w14:paraId="66A4F512" w14:textId="77777777" w:rsidR="00343617" w:rsidRPr="00746871" w:rsidRDefault="00343617" w:rsidP="00343617">
      <w:pPr>
        <w:pStyle w:val="a9"/>
        <w:ind w:firstLineChars="0" w:firstLine="0"/>
        <w:rPr>
          <w:rFonts w:ascii="Times New Roman"/>
          <w:sz w:val="18"/>
          <w:szCs w:val="18"/>
        </w:rPr>
      </w:pPr>
    </w:p>
    <w:p w14:paraId="615A98C4" w14:textId="77777777" w:rsidR="00343617" w:rsidRPr="00746871" w:rsidRDefault="00343617" w:rsidP="00343617">
      <w:pPr>
        <w:pStyle w:val="a9"/>
        <w:ind w:firstLineChars="0" w:firstLine="0"/>
        <w:rPr>
          <w:rFonts w:ascii="Times New Roman"/>
          <w:sz w:val="18"/>
          <w:szCs w:val="18"/>
        </w:rPr>
      </w:pPr>
    </w:p>
    <w:p w14:paraId="6BA38040" w14:textId="77777777" w:rsidR="00343617" w:rsidRPr="00746871" w:rsidRDefault="00343617" w:rsidP="00343617">
      <w:pPr>
        <w:pStyle w:val="a9"/>
        <w:ind w:firstLineChars="0" w:firstLine="0"/>
        <w:rPr>
          <w:rFonts w:ascii="Times New Roman"/>
          <w:sz w:val="18"/>
          <w:szCs w:val="18"/>
        </w:rPr>
      </w:pPr>
    </w:p>
    <w:p w14:paraId="7A7C0A69" w14:textId="77777777" w:rsidR="00343617" w:rsidRPr="00746871" w:rsidRDefault="00343617" w:rsidP="00343617">
      <w:pPr>
        <w:pStyle w:val="a9"/>
        <w:ind w:firstLineChars="0" w:firstLine="0"/>
        <w:rPr>
          <w:rFonts w:ascii="Times New Roman"/>
          <w:sz w:val="18"/>
          <w:szCs w:val="18"/>
        </w:rPr>
      </w:pPr>
    </w:p>
    <w:p w14:paraId="03A86565" w14:textId="77777777" w:rsidR="00343617" w:rsidRPr="00746871" w:rsidRDefault="00343617" w:rsidP="00343617">
      <w:pPr>
        <w:pStyle w:val="a9"/>
        <w:ind w:firstLineChars="0" w:firstLine="0"/>
        <w:rPr>
          <w:rFonts w:ascii="Times New Roman"/>
          <w:sz w:val="18"/>
          <w:szCs w:val="18"/>
        </w:rPr>
      </w:pPr>
    </w:p>
    <w:p w14:paraId="6E4681EB" w14:textId="77777777" w:rsidR="00343617" w:rsidRPr="00746871" w:rsidRDefault="00343617" w:rsidP="00343617">
      <w:pPr>
        <w:pStyle w:val="a9"/>
        <w:ind w:firstLineChars="0" w:firstLine="0"/>
        <w:rPr>
          <w:rFonts w:ascii="Times New Roman"/>
          <w:sz w:val="18"/>
          <w:szCs w:val="18"/>
        </w:rPr>
      </w:pPr>
    </w:p>
    <w:p w14:paraId="21F31759" w14:textId="77777777" w:rsidR="00343617" w:rsidRPr="00746871" w:rsidRDefault="00343617" w:rsidP="00343617">
      <w:pPr>
        <w:pStyle w:val="a9"/>
        <w:ind w:firstLineChars="0" w:firstLine="0"/>
        <w:rPr>
          <w:rFonts w:ascii="Times New Roman"/>
          <w:sz w:val="18"/>
          <w:szCs w:val="18"/>
        </w:rPr>
      </w:pPr>
    </w:p>
    <w:p w14:paraId="05D3784B" w14:textId="77777777" w:rsidR="00343617" w:rsidRPr="00746871" w:rsidRDefault="00343617" w:rsidP="00343617">
      <w:pPr>
        <w:pStyle w:val="a9"/>
        <w:ind w:firstLineChars="0" w:firstLine="0"/>
        <w:rPr>
          <w:rFonts w:ascii="Times New Roman"/>
          <w:sz w:val="18"/>
          <w:szCs w:val="18"/>
        </w:rPr>
      </w:pPr>
    </w:p>
    <w:p w14:paraId="1CBA8940" w14:textId="77777777" w:rsidR="00343617" w:rsidRPr="00746871" w:rsidRDefault="00343617" w:rsidP="00343617">
      <w:pPr>
        <w:pStyle w:val="a9"/>
        <w:ind w:firstLineChars="0" w:firstLine="0"/>
        <w:rPr>
          <w:rFonts w:ascii="Times New Roman"/>
          <w:sz w:val="18"/>
          <w:szCs w:val="18"/>
        </w:rPr>
      </w:pPr>
    </w:p>
    <w:p w14:paraId="3B3011F9" w14:textId="77777777" w:rsidR="00343617" w:rsidRPr="00746871" w:rsidRDefault="00343617" w:rsidP="00343617">
      <w:pPr>
        <w:pStyle w:val="a9"/>
        <w:ind w:firstLineChars="0" w:firstLine="0"/>
        <w:rPr>
          <w:rFonts w:ascii="Times New Roman"/>
          <w:sz w:val="18"/>
          <w:szCs w:val="18"/>
        </w:rPr>
      </w:pPr>
    </w:p>
    <w:p w14:paraId="3E2E605D" w14:textId="77777777" w:rsidR="00343617" w:rsidRPr="00746871" w:rsidRDefault="00343617" w:rsidP="00343617">
      <w:pPr>
        <w:pStyle w:val="a9"/>
        <w:ind w:firstLineChars="0" w:firstLine="0"/>
        <w:rPr>
          <w:rFonts w:ascii="Times New Roman"/>
          <w:sz w:val="18"/>
          <w:szCs w:val="18"/>
        </w:rPr>
      </w:pPr>
    </w:p>
    <w:p w14:paraId="1433A0A3" w14:textId="77777777" w:rsidR="00343617" w:rsidRPr="00746871" w:rsidRDefault="00343617" w:rsidP="00343617">
      <w:pPr>
        <w:pStyle w:val="a9"/>
        <w:ind w:firstLineChars="0" w:firstLine="0"/>
        <w:rPr>
          <w:rFonts w:ascii="Times New Roman"/>
          <w:sz w:val="18"/>
          <w:szCs w:val="18"/>
        </w:rPr>
      </w:pPr>
      <w:r w:rsidRPr="00746871">
        <w:rPr>
          <w:rFonts w:ascii="Times New Roman"/>
          <w:sz w:val="18"/>
          <w:szCs w:val="18"/>
        </w:rPr>
        <w:t>XX-XX-XX</w:t>
      </w:r>
      <w:r w:rsidRPr="00746871">
        <w:rPr>
          <w:rFonts w:ascii="Times New Roman" w:hAnsi="Arial"/>
          <w:sz w:val="18"/>
          <w:szCs w:val="18"/>
        </w:rPr>
        <w:t>发布</w:t>
      </w:r>
      <w:r w:rsidRPr="00746871">
        <w:rPr>
          <w:rFonts w:ascii="Times New Roman"/>
          <w:sz w:val="18"/>
          <w:szCs w:val="18"/>
        </w:rPr>
        <w:t xml:space="preserve">                                                                           XX-XX-XX</w:t>
      </w:r>
      <w:r w:rsidRPr="00746871">
        <w:rPr>
          <w:rFonts w:ascii="Times New Roman" w:hAnsi="Arial"/>
          <w:sz w:val="18"/>
          <w:szCs w:val="18"/>
        </w:rPr>
        <w:t>实施</w:t>
      </w:r>
    </w:p>
    <w:p w14:paraId="1BA64052" w14:textId="77777777" w:rsidR="00343617" w:rsidRPr="00746871" w:rsidRDefault="00343617" w:rsidP="00343617">
      <w:pPr>
        <w:pStyle w:val="a9"/>
        <w:ind w:firstLineChars="0" w:firstLine="0"/>
        <w:rPr>
          <w:rFonts w:ascii="Times New Roman"/>
          <w:sz w:val="18"/>
          <w:szCs w:val="18"/>
        </w:rPr>
      </w:pPr>
      <w:r w:rsidRPr="00746871">
        <w:rPr>
          <w:rFonts w:hAnsi="Arial"/>
          <w:b/>
          <w:noProof/>
          <w:sz w:val="28"/>
          <w:szCs w:val="28"/>
        </w:rPr>
        <mc:AlternateContent>
          <mc:Choice Requires="wps">
            <w:drawing>
              <wp:anchor distT="4294967295" distB="4294967295" distL="114300" distR="114300" simplePos="0" relativeHeight="251668480" behindDoc="0" locked="0" layoutInCell="1" allowOverlap="1" wp14:anchorId="342C68D6" wp14:editId="26BE9A2F">
                <wp:simplePos x="0" y="0"/>
                <wp:positionH relativeFrom="column">
                  <wp:posOffset>-7620</wp:posOffset>
                </wp:positionH>
                <wp:positionV relativeFrom="paragraph">
                  <wp:posOffset>13334</wp:posOffset>
                </wp:positionV>
                <wp:extent cx="5943600" cy="0"/>
                <wp:effectExtent l="0" t="0" r="0" b="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4C178" id="直接连接符 9" o:spid="_x0000_s1026"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05pt" to="467.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1LLQIAADMEAAAOAAAAZHJzL2Uyb0RvYy54bWysU8GO0zAQvSPxD1bu3STdtLR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"/>
            </w:pict>
          </mc:Fallback>
        </mc:AlternateContent>
      </w:r>
    </w:p>
    <w:p w14:paraId="53FE389E" w14:textId="77777777" w:rsidR="00343617" w:rsidRPr="00746871" w:rsidRDefault="00343617" w:rsidP="00021231">
      <w:pPr>
        <w:ind w:firstLineChars="0" w:firstLine="0"/>
        <w:jc w:val="distribute"/>
        <w:sectPr w:rsidR="00343617" w:rsidRPr="00746871">
          <w:headerReference w:type="even" r:id="rId7"/>
          <w:headerReference w:type="default" r:id="rId8"/>
          <w:footerReference w:type="even" r:id="rId9"/>
          <w:footerReference w:type="default" r:id="rId10"/>
          <w:headerReference w:type="first" r:id="rId11"/>
          <w:footerReference w:type="first" r:id="rId12"/>
          <w:pgSz w:w="11906" w:h="16838"/>
          <w:pgMar w:top="567" w:right="1134" w:bottom="1134" w:left="1134" w:header="1418" w:footer="1134" w:gutter="0"/>
          <w:pgNumType w:fmt="upperRoman" w:start="1"/>
          <w:cols w:space="425"/>
          <w:formProt w:val="0"/>
          <w:docGrid w:type="lines" w:linePitch="312"/>
        </w:sectPr>
      </w:pPr>
      <w:r w:rsidRPr="00746871">
        <w:rPr>
          <w:rFonts w:hAnsi="Arial"/>
          <w:b/>
          <w:sz w:val="28"/>
          <w:szCs w:val="28"/>
        </w:rPr>
        <w:t>中国建筑材料联合会</w:t>
      </w:r>
      <w:r w:rsidRPr="00746871">
        <w:rPr>
          <w:rFonts w:hAnsi="Arial"/>
          <w:b/>
          <w:spacing w:val="227"/>
          <w:kern w:val="0"/>
          <w:sz w:val="18"/>
          <w:szCs w:val="18"/>
        </w:rPr>
        <w:t>发</w:t>
      </w:r>
      <w:r w:rsidRPr="00746871">
        <w:rPr>
          <w:rFonts w:hAnsi="Arial"/>
          <w:b/>
          <w:kern w:val="0"/>
          <w:sz w:val="18"/>
          <w:szCs w:val="18"/>
        </w:rPr>
        <w:t>布</w:t>
      </w:r>
    </w:p>
    <w:p w14:paraId="130EFDB7" w14:textId="77777777" w:rsidR="007668F0" w:rsidRPr="00746871" w:rsidRDefault="007668F0" w:rsidP="007668F0">
      <w:pPr>
        <w:pStyle w:val="af1"/>
      </w:pPr>
      <w:bookmarkStart w:id="5" w:name="_Toc485649772"/>
      <w:bookmarkStart w:id="6" w:name="_Toc17464295"/>
      <w:r w:rsidRPr="00746871">
        <w:rPr>
          <w:rFonts w:hint="eastAsia"/>
        </w:rPr>
        <w:lastRenderedPageBreak/>
        <w:t>前</w:t>
      </w:r>
      <w:bookmarkStart w:id="7" w:name="BKQY"/>
      <w:r w:rsidRPr="00746871">
        <w:rPr>
          <w:rFonts w:hAnsi="黑体"/>
        </w:rPr>
        <w:t>  </w:t>
      </w:r>
      <w:r w:rsidRPr="00746871">
        <w:rPr>
          <w:rFonts w:hint="eastAsia"/>
        </w:rPr>
        <w:t>言</w:t>
      </w:r>
      <w:bookmarkEnd w:id="0"/>
      <w:bookmarkEnd w:id="1"/>
      <w:bookmarkEnd w:id="2"/>
      <w:bookmarkEnd w:id="3"/>
      <w:bookmarkEnd w:id="5"/>
      <w:bookmarkEnd w:id="6"/>
      <w:bookmarkEnd w:id="7"/>
    </w:p>
    <w:p w14:paraId="41280044" w14:textId="77777777" w:rsidR="007668F0" w:rsidRPr="00746871" w:rsidRDefault="007668F0" w:rsidP="007668F0">
      <w:pPr>
        <w:pStyle w:val="TOC1"/>
        <w:tabs>
          <w:tab w:val="right" w:leader="dot" w:pos="8297"/>
        </w:tabs>
        <w:spacing w:before="78" w:after="78"/>
        <w:ind w:firstLine="420"/>
        <w:rPr>
          <w:rFonts w:hAnsi="宋体" w:cs="宋体"/>
        </w:rPr>
      </w:pPr>
      <w:r w:rsidRPr="00746871">
        <w:rPr>
          <w:rFonts w:hAnsi="宋体" w:cs="宋体" w:hint="eastAsia"/>
        </w:rPr>
        <w:t>本</w:t>
      </w:r>
      <w:r w:rsidR="002D20CA" w:rsidRPr="00746871">
        <w:rPr>
          <w:rFonts w:hAnsi="宋体" w:cs="宋体" w:hint="eastAsia"/>
        </w:rPr>
        <w:t>标准</w:t>
      </w:r>
      <w:r w:rsidRPr="00746871">
        <w:rPr>
          <w:rFonts w:hAnsi="宋体" w:cs="宋体" w:hint="eastAsia"/>
        </w:rPr>
        <w:t>依据</w:t>
      </w:r>
      <w:r w:rsidRPr="00746871">
        <w:rPr>
          <w:rFonts w:ascii="Times New Roman"/>
        </w:rPr>
        <w:t>GB/T 1.1</w:t>
      </w:r>
      <w:r w:rsidRPr="00746871">
        <w:rPr>
          <w:rFonts w:ascii="Times New Roman"/>
        </w:rPr>
        <w:t>－</w:t>
      </w:r>
      <w:r w:rsidRPr="00746871">
        <w:rPr>
          <w:rFonts w:ascii="Times New Roman"/>
        </w:rPr>
        <w:t>2009</w:t>
      </w:r>
      <w:r w:rsidR="00533D0C" w:rsidRPr="00746871">
        <w:rPr>
          <w:rFonts w:hAnsi="宋体" w:cs="宋体" w:hint="eastAsia"/>
        </w:rPr>
        <w:t>给出的规则</w:t>
      </w:r>
      <w:r w:rsidRPr="00746871">
        <w:rPr>
          <w:rFonts w:hAnsi="宋体" w:cs="宋体" w:hint="eastAsia"/>
        </w:rPr>
        <w:t>起草。</w:t>
      </w:r>
    </w:p>
    <w:p w14:paraId="369EFFAE" w14:textId="3E342A6F" w:rsidR="007668F0" w:rsidRPr="00746871" w:rsidRDefault="007668F0" w:rsidP="007668F0">
      <w:pPr>
        <w:ind w:firstLine="420"/>
        <w:rPr>
          <w:rFonts w:ascii="宋体"/>
          <w:kern w:val="0"/>
          <w:szCs w:val="20"/>
        </w:rPr>
      </w:pPr>
      <w:r w:rsidRPr="00746871">
        <w:rPr>
          <w:rFonts w:ascii="宋体"/>
          <w:kern w:val="0"/>
          <w:szCs w:val="20"/>
        </w:rPr>
        <w:t>本标准</w:t>
      </w:r>
      <w:r w:rsidR="00593DE8" w:rsidRPr="00746871">
        <w:rPr>
          <w:rFonts w:ascii="宋体" w:hint="eastAsia"/>
          <w:kern w:val="0"/>
          <w:szCs w:val="20"/>
        </w:rPr>
        <w:t>由</w:t>
      </w:r>
      <w:r w:rsidR="000F551C" w:rsidRPr="00746871">
        <w:rPr>
          <w:rFonts w:ascii="宋体" w:hint="eastAsia"/>
          <w:kern w:val="0"/>
          <w:szCs w:val="20"/>
        </w:rPr>
        <w:t>中国建筑材料联合会</w:t>
      </w:r>
      <w:r w:rsidRPr="00746871">
        <w:rPr>
          <w:rFonts w:ascii="宋体"/>
          <w:kern w:val="0"/>
          <w:szCs w:val="20"/>
        </w:rPr>
        <w:t>提出</w:t>
      </w:r>
      <w:r w:rsidR="000F551C" w:rsidRPr="00746871">
        <w:rPr>
          <w:rFonts w:ascii="宋体" w:hint="eastAsia"/>
          <w:kern w:val="0"/>
          <w:szCs w:val="20"/>
        </w:rPr>
        <w:t>并归口</w:t>
      </w:r>
      <w:r w:rsidRPr="00746871">
        <w:rPr>
          <w:rFonts w:ascii="宋体"/>
          <w:kern w:val="0"/>
          <w:szCs w:val="20"/>
        </w:rPr>
        <w:t>。</w:t>
      </w:r>
    </w:p>
    <w:p w14:paraId="0CC37AEC" w14:textId="0748B077" w:rsidR="007668F0" w:rsidRPr="00746871" w:rsidRDefault="007668F0" w:rsidP="007668F0">
      <w:pPr>
        <w:ind w:firstLine="420"/>
        <w:rPr>
          <w:rFonts w:ascii="宋体"/>
          <w:kern w:val="0"/>
          <w:szCs w:val="20"/>
        </w:rPr>
      </w:pPr>
      <w:r w:rsidRPr="00746871">
        <w:rPr>
          <w:rFonts w:ascii="宋体" w:hint="eastAsia"/>
          <w:kern w:val="0"/>
          <w:szCs w:val="20"/>
        </w:rPr>
        <w:t>本标准起草</w:t>
      </w:r>
      <w:r w:rsidRPr="00746871">
        <w:rPr>
          <w:rFonts w:ascii="宋体"/>
          <w:kern w:val="0"/>
          <w:szCs w:val="20"/>
        </w:rPr>
        <w:t>单位：</w:t>
      </w:r>
      <w:r w:rsidR="00593DE8" w:rsidRPr="00746871">
        <w:rPr>
          <w:rFonts w:ascii="宋体" w:hint="eastAsia"/>
          <w:kern w:val="0"/>
          <w:szCs w:val="20"/>
        </w:rPr>
        <w:t>北京国建联信认证中心有限公司</w:t>
      </w:r>
    </w:p>
    <w:p w14:paraId="424F78DD" w14:textId="0C2C2BD7" w:rsidR="007668F0" w:rsidRPr="00746871" w:rsidRDefault="007668F0" w:rsidP="007668F0">
      <w:pPr>
        <w:ind w:firstLine="420"/>
        <w:rPr>
          <w:rFonts w:ascii="宋体"/>
          <w:kern w:val="0"/>
          <w:szCs w:val="20"/>
        </w:rPr>
      </w:pPr>
      <w:r w:rsidRPr="00746871">
        <w:rPr>
          <w:rFonts w:ascii="宋体" w:hint="eastAsia"/>
          <w:kern w:val="0"/>
          <w:szCs w:val="20"/>
        </w:rPr>
        <w:t>本标准</w:t>
      </w:r>
      <w:r w:rsidRPr="00746871">
        <w:rPr>
          <w:rFonts w:ascii="宋体"/>
          <w:kern w:val="0"/>
          <w:szCs w:val="20"/>
        </w:rPr>
        <w:t>主要起草人</w:t>
      </w:r>
      <w:r w:rsidR="00057567" w:rsidRPr="00746871">
        <w:rPr>
          <w:rFonts w:ascii="宋体" w:hint="eastAsia"/>
          <w:kern w:val="0"/>
          <w:szCs w:val="20"/>
        </w:rPr>
        <w:t>：</w:t>
      </w:r>
    </w:p>
    <w:p w14:paraId="159A8DBB" w14:textId="4873E566" w:rsidR="00057567" w:rsidRPr="00746871" w:rsidRDefault="00057567" w:rsidP="007668F0">
      <w:pPr>
        <w:ind w:firstLine="420"/>
        <w:rPr>
          <w:rFonts w:ascii="宋体"/>
          <w:kern w:val="0"/>
          <w:szCs w:val="20"/>
        </w:rPr>
      </w:pPr>
      <w:r w:rsidRPr="00746871">
        <w:rPr>
          <w:rFonts w:ascii="宋体" w:hint="eastAsia"/>
          <w:kern w:val="0"/>
          <w:szCs w:val="20"/>
        </w:rPr>
        <w:t>本标准主要审查人：</w:t>
      </w:r>
    </w:p>
    <w:p w14:paraId="132FDAAD" w14:textId="77777777" w:rsidR="007668F0" w:rsidRPr="00746871" w:rsidRDefault="007668F0" w:rsidP="007668F0">
      <w:pPr>
        <w:pStyle w:val="TOC1"/>
        <w:tabs>
          <w:tab w:val="right" w:leader="dot" w:pos="8297"/>
        </w:tabs>
        <w:spacing w:before="78" w:after="78"/>
        <w:ind w:firstLine="420"/>
        <w:rPr>
          <w:rFonts w:hAnsi="宋体" w:cs="宋体"/>
        </w:rPr>
      </w:pPr>
    </w:p>
    <w:p w14:paraId="2DE4E668" w14:textId="77777777" w:rsidR="007668F0" w:rsidRPr="00746871" w:rsidRDefault="007668F0" w:rsidP="007668F0">
      <w:pPr>
        <w:ind w:firstLine="420"/>
        <w:rPr>
          <w:rFonts w:ascii="宋体"/>
          <w:kern w:val="0"/>
          <w:szCs w:val="20"/>
        </w:rPr>
      </w:pPr>
    </w:p>
    <w:p w14:paraId="4167E92A" w14:textId="77777777" w:rsidR="007668F0" w:rsidRPr="00746871" w:rsidRDefault="007668F0" w:rsidP="007668F0">
      <w:pPr>
        <w:pStyle w:val="af1"/>
      </w:pPr>
      <w:bookmarkStart w:id="8" w:name="_Toc480449167"/>
      <w:bookmarkStart w:id="9" w:name="_Toc485388067"/>
      <w:bookmarkStart w:id="10" w:name="_Toc485388811"/>
      <w:bookmarkStart w:id="11" w:name="_Toc485388969"/>
      <w:bookmarkStart w:id="12" w:name="_Toc485649773"/>
      <w:bookmarkStart w:id="13" w:name="_Toc17464296"/>
      <w:r w:rsidRPr="00746871">
        <w:rPr>
          <w:rFonts w:hint="eastAsia"/>
        </w:rPr>
        <w:lastRenderedPageBreak/>
        <w:t>引</w:t>
      </w:r>
      <w:bookmarkStart w:id="14" w:name="BKYY"/>
      <w:r w:rsidRPr="00746871">
        <w:rPr>
          <w:rFonts w:hAnsi="黑体"/>
        </w:rPr>
        <w:t>  </w:t>
      </w:r>
      <w:r w:rsidRPr="00746871">
        <w:rPr>
          <w:rFonts w:hint="eastAsia"/>
        </w:rPr>
        <w:t>言</w:t>
      </w:r>
      <w:bookmarkEnd w:id="8"/>
      <w:bookmarkEnd w:id="9"/>
      <w:bookmarkEnd w:id="10"/>
      <w:bookmarkEnd w:id="11"/>
      <w:bookmarkEnd w:id="12"/>
      <w:bookmarkEnd w:id="13"/>
      <w:bookmarkEnd w:id="14"/>
    </w:p>
    <w:p w14:paraId="46F61088" w14:textId="6E5456EC" w:rsidR="00E01109" w:rsidRPr="00746871" w:rsidRDefault="00E01109" w:rsidP="00E01109">
      <w:pPr>
        <w:ind w:firstLine="420"/>
        <w:rPr>
          <w:rFonts w:ascii="宋体"/>
          <w:kern w:val="0"/>
          <w:szCs w:val="20"/>
        </w:rPr>
      </w:pPr>
      <w:r w:rsidRPr="00746871">
        <w:rPr>
          <w:rFonts w:hAnsi="宋体" w:cs="宋体" w:hint="eastAsia"/>
        </w:rPr>
        <w:t>本标准为预拌混凝土行业参与碳排放交易提供必要的技术支持和保障，同时建立了符合预拌混凝土企业的温室气体量化、报告与核查制度。</w:t>
      </w:r>
      <w:r w:rsidRPr="00746871">
        <w:rPr>
          <w:rFonts w:ascii="宋体" w:hint="eastAsia"/>
          <w:kern w:val="0"/>
          <w:szCs w:val="20"/>
        </w:rPr>
        <w:t>第三方核查机构可依据本标准对预拌混凝土企业温室气体排放开展核查，企业可依据本标准自行进行盘查。</w:t>
      </w:r>
    </w:p>
    <w:p w14:paraId="32432590" w14:textId="0D9CFDAE" w:rsidR="00DD36AB" w:rsidRPr="00746871" w:rsidRDefault="00DD36AB" w:rsidP="007668F0">
      <w:pPr>
        <w:ind w:firstLine="420"/>
        <w:rPr>
          <w:rFonts w:ascii="宋体"/>
          <w:kern w:val="0"/>
          <w:szCs w:val="20"/>
        </w:rPr>
      </w:pPr>
      <w:r w:rsidRPr="00746871">
        <w:rPr>
          <w:rFonts w:ascii="宋体" w:hint="eastAsia"/>
          <w:kern w:val="0"/>
          <w:szCs w:val="20"/>
        </w:rPr>
        <w:t>本标准主要内容包括：第</w:t>
      </w:r>
      <w:r w:rsidR="000D09F0" w:rsidRPr="00746871">
        <w:rPr>
          <w:rFonts w:ascii="宋体" w:hint="eastAsia"/>
          <w:kern w:val="0"/>
          <w:szCs w:val="20"/>
        </w:rPr>
        <w:t>1</w:t>
      </w:r>
      <w:r w:rsidRPr="00746871">
        <w:rPr>
          <w:rFonts w:ascii="宋体" w:hint="eastAsia"/>
          <w:kern w:val="0"/>
          <w:szCs w:val="20"/>
        </w:rPr>
        <w:t>章</w:t>
      </w:r>
      <w:r w:rsidR="000D09F0" w:rsidRPr="00746871">
        <w:rPr>
          <w:rFonts w:ascii="宋体" w:hint="eastAsia"/>
          <w:kern w:val="0"/>
          <w:szCs w:val="20"/>
        </w:rPr>
        <w:t>适用范围；第2章规范性引用文件；第3章</w:t>
      </w:r>
      <w:r w:rsidR="000E3922" w:rsidRPr="00746871">
        <w:rPr>
          <w:rFonts w:ascii="宋体" w:hint="eastAsia"/>
          <w:kern w:val="0"/>
          <w:szCs w:val="20"/>
        </w:rPr>
        <w:t>术语</w:t>
      </w:r>
      <w:r w:rsidR="000D09F0" w:rsidRPr="00746871">
        <w:rPr>
          <w:rFonts w:ascii="宋体" w:hint="eastAsia"/>
          <w:kern w:val="0"/>
          <w:szCs w:val="20"/>
        </w:rPr>
        <w:t>和定义；第4章核查步骤；第5章核查准备；第6章核查策划；第7章核查实施；第8章核查报告；第9章核查工作的质量保证。</w:t>
      </w:r>
    </w:p>
    <w:p w14:paraId="54E72BBF" w14:textId="77777777" w:rsidR="007668F0" w:rsidRPr="00746871" w:rsidRDefault="007668F0" w:rsidP="007668F0">
      <w:pPr>
        <w:pStyle w:val="a9"/>
      </w:pPr>
    </w:p>
    <w:p w14:paraId="4386129B" w14:textId="77777777" w:rsidR="007668F0" w:rsidRPr="00746871" w:rsidRDefault="007668F0" w:rsidP="007668F0">
      <w:pPr>
        <w:pStyle w:val="a9"/>
        <w:sectPr w:rsidR="007668F0" w:rsidRPr="00746871">
          <w:headerReference w:type="default" r:id="rId13"/>
          <w:footerReference w:type="default" r:id="rId14"/>
          <w:pgSz w:w="11906" w:h="16838"/>
          <w:pgMar w:top="567" w:right="1134" w:bottom="1134" w:left="1418" w:header="1418" w:footer="1134" w:gutter="0"/>
          <w:pgNumType w:fmt="upperRoman" w:start="1"/>
          <w:cols w:space="720"/>
          <w:formProt w:val="0"/>
          <w:docGrid w:type="lines" w:linePitch="312"/>
        </w:sectPr>
      </w:pPr>
    </w:p>
    <w:p w14:paraId="0984A472" w14:textId="77777777" w:rsidR="007668F0" w:rsidRPr="00746871" w:rsidRDefault="007668F0" w:rsidP="0083023C">
      <w:pPr>
        <w:pStyle w:val="af"/>
        <w:ind w:firstLine="640"/>
      </w:pPr>
      <w:bookmarkStart w:id="15" w:name="_Toc17464297"/>
      <w:r w:rsidRPr="00746871">
        <w:rPr>
          <w:rFonts w:hint="eastAsia"/>
        </w:rPr>
        <w:lastRenderedPageBreak/>
        <w:t>预拌混凝土行业企业碳排放核查技术规范</w:t>
      </w:r>
      <w:bookmarkEnd w:id="15"/>
    </w:p>
    <w:p w14:paraId="40A55E9D" w14:textId="77777777" w:rsidR="007668F0" w:rsidRPr="00746871" w:rsidRDefault="00F569D1" w:rsidP="007668F0">
      <w:pPr>
        <w:pStyle w:val="a1"/>
        <w:numPr>
          <w:ilvl w:val="0"/>
          <w:numId w:val="1"/>
        </w:numPr>
      </w:pPr>
      <w:bookmarkStart w:id="16" w:name="_Toc480449168"/>
      <w:bookmarkStart w:id="17" w:name="_Toc485388068"/>
      <w:bookmarkStart w:id="18" w:name="_Toc485388812"/>
      <w:bookmarkStart w:id="19" w:name="_Toc485388970"/>
      <w:bookmarkStart w:id="20" w:name="_Toc485649774"/>
      <w:bookmarkStart w:id="21" w:name="_Toc17464298"/>
      <w:r w:rsidRPr="00746871">
        <w:rPr>
          <w:rFonts w:hint="eastAsia"/>
        </w:rPr>
        <w:t>适用</w:t>
      </w:r>
      <w:r w:rsidR="007668F0" w:rsidRPr="00746871">
        <w:rPr>
          <w:rFonts w:hint="eastAsia"/>
        </w:rPr>
        <w:t>范围</w:t>
      </w:r>
      <w:bookmarkEnd w:id="16"/>
      <w:bookmarkEnd w:id="17"/>
      <w:bookmarkEnd w:id="18"/>
      <w:bookmarkEnd w:id="19"/>
      <w:bookmarkEnd w:id="20"/>
      <w:bookmarkEnd w:id="21"/>
    </w:p>
    <w:p w14:paraId="232B8587" w14:textId="52DD742E" w:rsidR="007668F0" w:rsidRPr="00746871" w:rsidRDefault="007668F0" w:rsidP="006864EE">
      <w:pPr>
        <w:ind w:firstLine="420"/>
      </w:pPr>
      <w:r w:rsidRPr="00746871">
        <w:rPr>
          <w:rFonts w:hint="eastAsia"/>
        </w:rPr>
        <w:t>本标准规定了预拌混凝土</w:t>
      </w:r>
      <w:r w:rsidR="0001364E" w:rsidRPr="00746871">
        <w:rPr>
          <w:rFonts w:hint="eastAsia"/>
        </w:rPr>
        <w:t>行业</w:t>
      </w:r>
      <w:r w:rsidRPr="00746871">
        <w:rPr>
          <w:rFonts w:hint="eastAsia"/>
        </w:rPr>
        <w:t>企业</w:t>
      </w:r>
      <w:r w:rsidR="0001364E" w:rsidRPr="00746871">
        <w:rPr>
          <w:rFonts w:hint="eastAsia"/>
        </w:rPr>
        <w:t>碳排放的</w:t>
      </w:r>
      <w:r w:rsidRPr="00746871">
        <w:rPr>
          <w:rFonts w:hint="eastAsia"/>
        </w:rPr>
        <w:t>核查步骤、</w:t>
      </w:r>
      <w:r w:rsidR="0001364E" w:rsidRPr="00746871">
        <w:rPr>
          <w:rFonts w:hint="eastAsia"/>
        </w:rPr>
        <w:t>核查</w:t>
      </w:r>
      <w:r w:rsidRPr="00746871">
        <w:rPr>
          <w:rFonts w:hint="eastAsia"/>
        </w:rPr>
        <w:t>准备、</w:t>
      </w:r>
      <w:r w:rsidR="0001364E" w:rsidRPr="00746871">
        <w:rPr>
          <w:rFonts w:hint="eastAsia"/>
        </w:rPr>
        <w:t>核查</w:t>
      </w:r>
      <w:r w:rsidRPr="00746871">
        <w:rPr>
          <w:rFonts w:hint="eastAsia"/>
        </w:rPr>
        <w:t>策划、</w:t>
      </w:r>
      <w:r w:rsidR="0001364E" w:rsidRPr="00746871">
        <w:rPr>
          <w:rFonts w:hint="eastAsia"/>
        </w:rPr>
        <w:t>核查</w:t>
      </w:r>
      <w:r w:rsidR="0001364E" w:rsidRPr="00746871">
        <w:t>实施、核查</w:t>
      </w:r>
      <w:r w:rsidRPr="00746871">
        <w:rPr>
          <w:rFonts w:hint="eastAsia"/>
        </w:rPr>
        <w:t>报告以及核查工作的质量保证</w:t>
      </w:r>
      <w:r w:rsidR="006F4C88">
        <w:rPr>
          <w:rFonts w:hint="eastAsia"/>
        </w:rPr>
        <w:t>等</w:t>
      </w:r>
      <w:r w:rsidRPr="00746871">
        <w:rPr>
          <w:rFonts w:hint="eastAsia"/>
        </w:rPr>
        <w:t>。</w:t>
      </w:r>
    </w:p>
    <w:p w14:paraId="57AE5360" w14:textId="14BEF057" w:rsidR="007668F0" w:rsidRPr="00746871" w:rsidRDefault="007668F0" w:rsidP="006864EE">
      <w:pPr>
        <w:ind w:firstLine="420"/>
      </w:pPr>
      <w:r w:rsidRPr="00746871">
        <w:rPr>
          <w:rFonts w:hint="eastAsia"/>
        </w:rPr>
        <w:t>本标准适用于第三方核查机构对预拌混凝土企业</w:t>
      </w:r>
      <w:r w:rsidR="006F4C88">
        <w:rPr>
          <w:rFonts w:hint="eastAsia"/>
        </w:rPr>
        <w:t>碳</w:t>
      </w:r>
      <w:r w:rsidRPr="00746871">
        <w:rPr>
          <w:rFonts w:hint="eastAsia"/>
        </w:rPr>
        <w:t>排放开展核查，也适用于企业</w:t>
      </w:r>
      <w:r w:rsidR="0001364E" w:rsidRPr="00746871">
        <w:rPr>
          <w:rFonts w:hint="eastAsia"/>
        </w:rPr>
        <w:t>自行</w:t>
      </w:r>
      <w:r w:rsidRPr="00746871">
        <w:rPr>
          <w:rFonts w:hint="eastAsia"/>
        </w:rPr>
        <w:t>进行盘查。</w:t>
      </w:r>
    </w:p>
    <w:p w14:paraId="55C160B7" w14:textId="77777777" w:rsidR="007668F0" w:rsidRPr="00746871" w:rsidRDefault="007668F0" w:rsidP="007668F0">
      <w:pPr>
        <w:pStyle w:val="a1"/>
        <w:numPr>
          <w:ilvl w:val="0"/>
          <w:numId w:val="1"/>
        </w:numPr>
      </w:pPr>
      <w:bookmarkStart w:id="22" w:name="_Toc480449169"/>
      <w:bookmarkStart w:id="23" w:name="_Toc485388069"/>
      <w:bookmarkStart w:id="24" w:name="_Toc485388813"/>
      <w:bookmarkStart w:id="25" w:name="_Toc485388971"/>
      <w:bookmarkStart w:id="26" w:name="_Toc485649775"/>
      <w:bookmarkStart w:id="27" w:name="_Toc17464299"/>
      <w:r w:rsidRPr="00746871">
        <w:rPr>
          <w:rFonts w:hint="eastAsia"/>
        </w:rPr>
        <w:t>规范性引用文件</w:t>
      </w:r>
      <w:bookmarkEnd w:id="22"/>
      <w:bookmarkEnd w:id="23"/>
      <w:bookmarkEnd w:id="24"/>
      <w:bookmarkEnd w:id="25"/>
      <w:bookmarkEnd w:id="26"/>
      <w:bookmarkEnd w:id="27"/>
    </w:p>
    <w:p w14:paraId="76A83A53" w14:textId="77777777" w:rsidR="007668F0" w:rsidRPr="00746871" w:rsidRDefault="007668F0" w:rsidP="006864EE">
      <w:pPr>
        <w:ind w:firstLine="420"/>
      </w:pPr>
      <w:r w:rsidRPr="00746871">
        <w:t>下列文件对于本文件的应用是必不可少的。凡是注日期的引用文件，仅所注日期的版本适用于本文件。凡是不注日期的引用文件，其最新版本</w:t>
      </w:r>
      <w:r w:rsidRPr="00746871">
        <w:t>(</w:t>
      </w:r>
      <w:r w:rsidRPr="00746871">
        <w:t>包括所有的修改单</w:t>
      </w:r>
      <w:r w:rsidRPr="00746871">
        <w:t>)</w:t>
      </w:r>
      <w:r w:rsidRPr="00746871">
        <w:t>适用于本文件。</w:t>
      </w:r>
    </w:p>
    <w:p w14:paraId="69B87F41" w14:textId="77777777" w:rsidR="0001364E" w:rsidRPr="00746871" w:rsidRDefault="0001364E" w:rsidP="0001364E">
      <w:pPr>
        <w:ind w:firstLine="420"/>
      </w:pPr>
      <w:r w:rsidRPr="00746871">
        <w:rPr>
          <w:rFonts w:hint="eastAsia"/>
        </w:rPr>
        <w:t>GB/T 213</w:t>
      </w:r>
      <w:r w:rsidRPr="00746871">
        <w:rPr>
          <w:rFonts w:hint="eastAsia"/>
        </w:rPr>
        <w:tab/>
      </w:r>
      <w:r w:rsidRPr="00746871">
        <w:rPr>
          <w:rFonts w:hint="eastAsia"/>
        </w:rPr>
        <w:t>煤的发热量测定方法</w:t>
      </w:r>
    </w:p>
    <w:p w14:paraId="0F84943A" w14:textId="31A5FFC0" w:rsidR="009C3BE1" w:rsidRPr="00746871" w:rsidRDefault="009C3BE1" w:rsidP="0001364E">
      <w:pPr>
        <w:ind w:firstLine="420"/>
      </w:pPr>
      <w:r w:rsidRPr="00746871">
        <w:rPr>
          <w:rFonts w:hint="eastAsia"/>
        </w:rPr>
        <w:t>GB/T 476</w:t>
      </w:r>
      <w:r w:rsidR="00F84E65" w:rsidRPr="00746871">
        <w:rPr>
          <w:rFonts w:hint="eastAsia"/>
        </w:rPr>
        <w:tab/>
      </w:r>
      <w:r w:rsidR="00F84E65" w:rsidRPr="00746871">
        <w:rPr>
          <w:rFonts w:hint="eastAsia"/>
        </w:rPr>
        <w:t>煤中碳和氢的测定方法</w:t>
      </w:r>
    </w:p>
    <w:p w14:paraId="5580E48A" w14:textId="10582E53" w:rsidR="009C3BE1" w:rsidRPr="00746871" w:rsidRDefault="009C3BE1" w:rsidP="0001364E">
      <w:pPr>
        <w:ind w:firstLine="420"/>
      </w:pPr>
      <w:r w:rsidRPr="00746871">
        <w:rPr>
          <w:rFonts w:hint="eastAsia"/>
        </w:rPr>
        <w:t>GB/T</w:t>
      </w:r>
      <w:r w:rsidRPr="00746871">
        <w:t xml:space="preserve"> </w:t>
      </w:r>
      <w:r w:rsidRPr="00746871">
        <w:rPr>
          <w:rFonts w:hint="eastAsia"/>
        </w:rPr>
        <w:t>11062</w:t>
      </w:r>
      <w:r w:rsidR="00215EA6" w:rsidRPr="00746871">
        <w:rPr>
          <w:rFonts w:hint="eastAsia"/>
        </w:rPr>
        <w:tab/>
      </w:r>
      <w:r w:rsidR="00215EA6" w:rsidRPr="00746871">
        <w:rPr>
          <w:rFonts w:hint="eastAsia"/>
        </w:rPr>
        <w:t>天然气</w:t>
      </w:r>
      <w:r w:rsidR="00215EA6" w:rsidRPr="00746871">
        <w:rPr>
          <w:rFonts w:hint="eastAsia"/>
        </w:rPr>
        <w:t xml:space="preserve"> </w:t>
      </w:r>
      <w:r w:rsidR="00215EA6" w:rsidRPr="00746871">
        <w:rPr>
          <w:rFonts w:hint="eastAsia"/>
        </w:rPr>
        <w:t>发热量、密度、相对密度和沃泊指数的计算方法</w:t>
      </w:r>
    </w:p>
    <w:p w14:paraId="4009ED40" w14:textId="3B716EF0" w:rsidR="009C3BE1" w:rsidRPr="00746871" w:rsidRDefault="009C3BE1" w:rsidP="0001364E">
      <w:pPr>
        <w:ind w:firstLine="420"/>
      </w:pPr>
      <w:r w:rsidRPr="00746871">
        <w:rPr>
          <w:rFonts w:hint="eastAsia"/>
        </w:rPr>
        <w:t>GB/T 13610</w:t>
      </w:r>
      <w:r w:rsidR="00253C4B" w:rsidRPr="00746871">
        <w:rPr>
          <w:rFonts w:hint="eastAsia"/>
        </w:rPr>
        <w:tab/>
      </w:r>
      <w:r w:rsidR="00253C4B" w:rsidRPr="00746871">
        <w:rPr>
          <w:rFonts w:hint="eastAsia"/>
        </w:rPr>
        <w:t>天然气的组成分析</w:t>
      </w:r>
      <w:r w:rsidR="00921238" w:rsidRPr="00746871">
        <w:rPr>
          <w:rFonts w:hint="eastAsia"/>
        </w:rPr>
        <w:t xml:space="preserve"> </w:t>
      </w:r>
      <w:r w:rsidR="00921238" w:rsidRPr="00746871">
        <w:rPr>
          <w:rFonts w:hint="eastAsia"/>
        </w:rPr>
        <w:t>气相色谱法</w:t>
      </w:r>
    </w:p>
    <w:p w14:paraId="79C61DF9" w14:textId="45F0DF55" w:rsidR="00D77731" w:rsidRDefault="00D77731" w:rsidP="0001364E">
      <w:pPr>
        <w:ind w:firstLine="420"/>
      </w:pPr>
      <w:r w:rsidRPr="00746871">
        <w:rPr>
          <w:rFonts w:hAnsi="宋体" w:hint="eastAsia"/>
        </w:rPr>
        <w:t>G</w:t>
      </w:r>
      <w:r w:rsidRPr="00746871">
        <w:rPr>
          <w:rFonts w:hAnsi="宋体"/>
        </w:rPr>
        <w:t>B/T 14902</w:t>
      </w:r>
      <w:r w:rsidR="000C05D1" w:rsidRPr="00746871">
        <w:rPr>
          <w:rFonts w:hint="eastAsia"/>
        </w:rPr>
        <w:tab/>
      </w:r>
      <w:r w:rsidR="000C05D1" w:rsidRPr="00746871">
        <w:rPr>
          <w:rFonts w:hint="eastAsia"/>
        </w:rPr>
        <w:t>预拌混凝土</w:t>
      </w:r>
    </w:p>
    <w:p w14:paraId="5D0195F7" w14:textId="77777777" w:rsidR="009E3E7C" w:rsidRPr="00746871" w:rsidRDefault="009E3E7C" w:rsidP="009E3E7C">
      <w:pPr>
        <w:ind w:firstLine="420"/>
      </w:pPr>
      <w:r w:rsidRPr="00746871">
        <w:t>GB 17167</w:t>
      </w:r>
      <w:r w:rsidRPr="00746871">
        <w:rPr>
          <w:rFonts w:hint="eastAsia"/>
        </w:rPr>
        <w:tab/>
      </w:r>
      <w:r w:rsidRPr="00746871">
        <w:rPr>
          <w:rFonts w:hint="eastAsia"/>
        </w:rPr>
        <w:t>用能单位能源计量器具配备和管理通则</w:t>
      </w:r>
    </w:p>
    <w:p w14:paraId="03AC32AF" w14:textId="6E77F698" w:rsidR="0001364E" w:rsidRPr="00746871" w:rsidRDefault="0001364E" w:rsidP="0001364E">
      <w:pPr>
        <w:ind w:firstLine="420"/>
      </w:pPr>
      <w:r w:rsidRPr="00746871">
        <w:rPr>
          <w:rFonts w:hint="eastAsia"/>
        </w:rPr>
        <w:t>GB 24851</w:t>
      </w:r>
      <w:r w:rsidRPr="00746871">
        <w:rPr>
          <w:rFonts w:hint="eastAsia"/>
        </w:rPr>
        <w:tab/>
      </w:r>
      <w:r w:rsidRPr="00746871">
        <w:rPr>
          <w:rFonts w:hint="eastAsia"/>
        </w:rPr>
        <w:t>建筑材料行业能源计量器具配备和管理要求</w:t>
      </w:r>
    </w:p>
    <w:p w14:paraId="1A1A4439" w14:textId="0B3C20EE" w:rsidR="0001364E" w:rsidRPr="00746871" w:rsidRDefault="0001364E" w:rsidP="0001364E">
      <w:pPr>
        <w:ind w:firstLine="420"/>
      </w:pPr>
      <w:r w:rsidRPr="00746871">
        <w:rPr>
          <w:rFonts w:hint="eastAsia"/>
        </w:rPr>
        <w:t>GB/T 32150</w:t>
      </w:r>
      <w:r w:rsidRPr="00746871">
        <w:rPr>
          <w:rFonts w:hint="eastAsia"/>
        </w:rPr>
        <w:tab/>
      </w:r>
      <w:r w:rsidRPr="00746871">
        <w:rPr>
          <w:rFonts w:hint="eastAsia"/>
        </w:rPr>
        <w:t>工业企业温室气体排放核算和报告通则</w:t>
      </w:r>
    </w:p>
    <w:p w14:paraId="3E3D26F5" w14:textId="77777777" w:rsidR="00453AFE" w:rsidRPr="00746871" w:rsidRDefault="00453AFE" w:rsidP="00453AFE">
      <w:pPr>
        <w:ind w:firstLine="420"/>
      </w:pPr>
      <w:r w:rsidRPr="00746871">
        <w:rPr>
          <w:rFonts w:hint="eastAsia"/>
        </w:rPr>
        <w:t xml:space="preserve">ISO 14064-1 </w:t>
      </w:r>
      <w:r w:rsidRPr="00746871">
        <w:rPr>
          <w:rFonts w:hint="eastAsia"/>
        </w:rPr>
        <w:tab/>
      </w:r>
      <w:r w:rsidRPr="00746871">
        <w:rPr>
          <w:rFonts w:hint="eastAsia"/>
        </w:rPr>
        <w:t>温室气体第</w:t>
      </w:r>
      <w:r w:rsidRPr="00746871">
        <w:rPr>
          <w:rFonts w:hint="eastAsia"/>
        </w:rPr>
        <w:t>1</w:t>
      </w:r>
      <w:r w:rsidRPr="00746871">
        <w:rPr>
          <w:rFonts w:hint="eastAsia"/>
        </w:rPr>
        <w:t>部分组织层次上对温室气体排放和清除的量化和报告的规范及指南</w:t>
      </w:r>
    </w:p>
    <w:p w14:paraId="4B0C60B7" w14:textId="77777777" w:rsidR="00453AFE" w:rsidRPr="00746871" w:rsidRDefault="00453AFE" w:rsidP="00453AFE">
      <w:pPr>
        <w:ind w:firstLine="420"/>
      </w:pPr>
      <w:r w:rsidRPr="00746871">
        <w:rPr>
          <w:rFonts w:hint="eastAsia"/>
        </w:rPr>
        <w:t>ISO 14064-3</w:t>
      </w:r>
      <w:r w:rsidRPr="00746871">
        <w:rPr>
          <w:rFonts w:hint="eastAsia"/>
        </w:rPr>
        <w:tab/>
      </w:r>
      <w:r w:rsidRPr="00746871">
        <w:rPr>
          <w:rFonts w:hint="eastAsia"/>
        </w:rPr>
        <w:t>温室气体第</w:t>
      </w:r>
      <w:r w:rsidRPr="00746871">
        <w:rPr>
          <w:rFonts w:hint="eastAsia"/>
        </w:rPr>
        <w:t>3</w:t>
      </w:r>
      <w:r w:rsidRPr="00746871">
        <w:rPr>
          <w:rFonts w:hint="eastAsia"/>
        </w:rPr>
        <w:t>部分：温室气体报告审定与核查的规范及指南</w:t>
      </w:r>
    </w:p>
    <w:p w14:paraId="0FDDBC94" w14:textId="599712F8" w:rsidR="009C3BE1" w:rsidRPr="00746871" w:rsidRDefault="009C3BE1" w:rsidP="0001364E">
      <w:pPr>
        <w:ind w:firstLine="420"/>
      </w:pPr>
    </w:p>
    <w:p w14:paraId="4271F267" w14:textId="77777777" w:rsidR="007668F0" w:rsidRPr="00746871" w:rsidRDefault="007668F0" w:rsidP="007668F0">
      <w:pPr>
        <w:pStyle w:val="a1"/>
        <w:numPr>
          <w:ilvl w:val="0"/>
          <w:numId w:val="1"/>
        </w:numPr>
      </w:pPr>
      <w:bookmarkStart w:id="28" w:name="_Toc485388070"/>
      <w:bookmarkStart w:id="29" w:name="_Toc485388814"/>
      <w:bookmarkStart w:id="30" w:name="_Toc485388972"/>
      <w:bookmarkStart w:id="31" w:name="_Toc485649776"/>
      <w:bookmarkStart w:id="32" w:name="_Toc17464300"/>
      <w:r w:rsidRPr="00746871">
        <w:rPr>
          <w:rFonts w:hint="eastAsia"/>
        </w:rPr>
        <w:t>术语和</w:t>
      </w:r>
      <w:r w:rsidRPr="00746871">
        <w:t>定义</w:t>
      </w:r>
      <w:bookmarkEnd w:id="28"/>
      <w:bookmarkEnd w:id="29"/>
      <w:bookmarkEnd w:id="30"/>
      <w:bookmarkEnd w:id="31"/>
      <w:bookmarkEnd w:id="32"/>
    </w:p>
    <w:p w14:paraId="286D41A5" w14:textId="13F675BE" w:rsidR="007668F0" w:rsidRPr="00746871" w:rsidRDefault="006F4C88" w:rsidP="00C02C39">
      <w:pPr>
        <w:ind w:firstLine="420"/>
      </w:pPr>
      <w:r w:rsidRPr="00746871">
        <w:rPr>
          <w:rFonts w:hAnsi="宋体" w:hint="eastAsia"/>
        </w:rPr>
        <w:t>G</w:t>
      </w:r>
      <w:r w:rsidRPr="00746871">
        <w:rPr>
          <w:rFonts w:hAnsi="宋体"/>
        </w:rPr>
        <w:t>B/T 14902</w:t>
      </w:r>
      <w:r w:rsidRPr="00746871">
        <w:rPr>
          <w:rFonts w:hAnsi="宋体" w:hint="eastAsia"/>
        </w:rPr>
        <w:t>、</w:t>
      </w:r>
      <w:r w:rsidR="00A865E5" w:rsidRPr="00746871">
        <w:rPr>
          <w:rFonts w:hAnsi="宋体"/>
        </w:rPr>
        <w:t>GB/T 32150</w:t>
      </w:r>
      <w:r w:rsidR="00A865E5" w:rsidRPr="00746871">
        <w:rPr>
          <w:rFonts w:hAnsi="宋体" w:hint="eastAsia"/>
        </w:rPr>
        <w:t>、</w:t>
      </w:r>
      <w:r w:rsidR="00A865E5" w:rsidRPr="00746871">
        <w:rPr>
          <w:rFonts w:hAnsi="宋体"/>
        </w:rPr>
        <w:t>ISO 14064-1</w:t>
      </w:r>
      <w:r w:rsidR="00A865E5" w:rsidRPr="00746871">
        <w:rPr>
          <w:rFonts w:hAnsi="宋体" w:hint="eastAsia"/>
        </w:rPr>
        <w:t>界定的以及</w:t>
      </w:r>
      <w:r w:rsidR="007668F0" w:rsidRPr="00746871">
        <w:rPr>
          <w:rFonts w:hint="eastAsia"/>
        </w:rPr>
        <w:t>下列术语和定义适用于本文件。</w:t>
      </w:r>
      <w:r w:rsidR="00D77731" w:rsidRPr="00746871">
        <w:rPr>
          <w:rFonts w:hint="eastAsia"/>
        </w:rPr>
        <w:t>为了便于使用，以下重复列出了</w:t>
      </w:r>
      <w:r w:rsidR="00D77731" w:rsidRPr="00746871">
        <w:rPr>
          <w:rFonts w:hint="eastAsia"/>
        </w:rPr>
        <w:t>GB/T 32150</w:t>
      </w:r>
      <w:r w:rsidR="000B176D" w:rsidRPr="00746871">
        <w:rPr>
          <w:rFonts w:hint="eastAsia"/>
        </w:rPr>
        <w:t>、</w:t>
      </w:r>
      <w:r w:rsidR="000B176D" w:rsidRPr="00746871">
        <w:rPr>
          <w:rFonts w:hAnsi="宋体"/>
        </w:rPr>
        <w:t>ISO 14064-1</w:t>
      </w:r>
      <w:r w:rsidR="00D77731" w:rsidRPr="00746871">
        <w:rPr>
          <w:rFonts w:hint="eastAsia"/>
        </w:rPr>
        <w:t>中的某些术语和定义。</w:t>
      </w:r>
    </w:p>
    <w:p w14:paraId="25E3615B" w14:textId="031DC25B" w:rsidR="006F4C88" w:rsidRPr="00746871" w:rsidRDefault="006F4C88" w:rsidP="006F4C88">
      <w:pPr>
        <w:spacing w:beforeLines="50" w:before="156" w:afterLines="50" w:after="156"/>
        <w:ind w:firstLineChars="0" w:firstLine="0"/>
        <w:rPr>
          <w:rFonts w:ascii="黑体" w:eastAsia="黑体" w:hAnsi="黑体"/>
        </w:rPr>
      </w:pPr>
      <w:bookmarkStart w:id="33" w:name="_Toc480449171"/>
      <w:bookmarkStart w:id="34" w:name="_Toc485388071"/>
      <w:bookmarkStart w:id="35" w:name="_Toc485388815"/>
      <w:bookmarkStart w:id="36" w:name="_Toc485388973"/>
      <w:bookmarkStart w:id="37" w:name="_Toc485649777"/>
      <w:bookmarkStart w:id="38" w:name="_Toc480449172"/>
      <w:bookmarkStart w:id="39" w:name="_Toc485388072"/>
      <w:bookmarkStart w:id="40" w:name="_Toc485388816"/>
      <w:bookmarkStart w:id="41" w:name="_Toc485388974"/>
      <w:bookmarkStart w:id="42" w:name="_Toc485649778"/>
      <w:bookmarkEnd w:id="33"/>
      <w:bookmarkEnd w:id="34"/>
      <w:bookmarkEnd w:id="35"/>
      <w:bookmarkEnd w:id="36"/>
      <w:bookmarkEnd w:id="37"/>
      <w:bookmarkEnd w:id="38"/>
      <w:bookmarkEnd w:id="39"/>
      <w:bookmarkEnd w:id="40"/>
      <w:bookmarkEnd w:id="41"/>
      <w:bookmarkEnd w:id="42"/>
      <w:r w:rsidRPr="00746871">
        <w:rPr>
          <w:rFonts w:ascii="黑体" w:eastAsia="黑体" w:hAnsi="黑体" w:hint="eastAsia"/>
        </w:rPr>
        <w:t>3</w:t>
      </w:r>
      <w:r w:rsidRPr="00746871">
        <w:rPr>
          <w:rFonts w:ascii="黑体" w:eastAsia="黑体" w:hAnsi="黑体"/>
        </w:rPr>
        <w:t>.</w:t>
      </w:r>
      <w:r w:rsidR="001132EB">
        <w:rPr>
          <w:rFonts w:ascii="黑体" w:eastAsia="黑体" w:hAnsi="黑体"/>
        </w:rPr>
        <w:t>1</w:t>
      </w:r>
      <w:r w:rsidRPr="00746871">
        <w:rPr>
          <w:rFonts w:ascii="黑体" w:eastAsia="黑体" w:hAnsi="黑体"/>
        </w:rPr>
        <w:t xml:space="preserve"> </w:t>
      </w:r>
    </w:p>
    <w:p w14:paraId="1F1AB973" w14:textId="77777777" w:rsidR="006F4C88" w:rsidRPr="00746871" w:rsidRDefault="006F4C88" w:rsidP="006F4C88">
      <w:pPr>
        <w:pStyle w:val="a9"/>
        <w:rPr>
          <w:rFonts w:ascii="黑体" w:eastAsia="黑体" w:hAnsi="黑体"/>
        </w:rPr>
      </w:pPr>
      <w:r w:rsidRPr="00746871">
        <w:rPr>
          <w:rFonts w:ascii="黑体" w:eastAsia="黑体" w:hAnsi="黑体" w:hint="eastAsia"/>
        </w:rPr>
        <w:t>预拌混凝土</w:t>
      </w:r>
    </w:p>
    <w:p w14:paraId="5F493F00" w14:textId="77777777" w:rsidR="006F4C88" w:rsidRPr="00746871" w:rsidRDefault="006F4C88" w:rsidP="006F4C88">
      <w:pPr>
        <w:pStyle w:val="a9"/>
        <w:rPr>
          <w:rFonts w:eastAsia="宋体" w:hAnsi="宋体"/>
        </w:rPr>
      </w:pPr>
      <w:r w:rsidRPr="00746871">
        <w:rPr>
          <w:rFonts w:eastAsia="宋体" w:hAnsi="宋体" w:hint="eastAsia"/>
        </w:rPr>
        <w:t>在搅拌站（楼）生产的、通过运输设备送至使用地点的、交货时为拌合物的混凝土。</w:t>
      </w:r>
    </w:p>
    <w:p w14:paraId="1802D51E" w14:textId="77777777" w:rsidR="006F4C88" w:rsidRPr="00746871" w:rsidRDefault="006F4C88" w:rsidP="006F4C88">
      <w:pPr>
        <w:pStyle w:val="a9"/>
        <w:rPr>
          <w:rFonts w:ascii="黑体" w:eastAsia="黑体" w:hAnsi="黑体"/>
        </w:rPr>
      </w:pPr>
      <w:r w:rsidRPr="00746871">
        <w:rPr>
          <w:rFonts w:ascii="黑体" w:eastAsia="黑体" w:hAnsi="黑体"/>
        </w:rPr>
        <w:t>[GB/T 14902,</w:t>
      </w:r>
      <w:r w:rsidRPr="00746871">
        <w:rPr>
          <w:rFonts w:ascii="黑体" w:eastAsia="黑体" w:hAnsi="黑体" w:hint="eastAsia"/>
        </w:rPr>
        <w:t>定义</w:t>
      </w:r>
      <w:r w:rsidRPr="00746871">
        <w:rPr>
          <w:rFonts w:ascii="黑体" w:eastAsia="黑体" w:hAnsi="黑体"/>
        </w:rPr>
        <w:t xml:space="preserve"> 3.1]</w:t>
      </w:r>
    </w:p>
    <w:p w14:paraId="027C23D2" w14:textId="04BD6D12" w:rsidR="007668F0" w:rsidRPr="00746871" w:rsidRDefault="007668F0" w:rsidP="000A0D0A">
      <w:pPr>
        <w:spacing w:beforeLines="50" w:before="156" w:afterLines="50" w:after="156"/>
        <w:ind w:firstLineChars="0" w:firstLine="0"/>
        <w:rPr>
          <w:rFonts w:ascii="黑体" w:eastAsia="黑体" w:hAnsi="黑体"/>
        </w:rPr>
      </w:pPr>
      <w:r w:rsidRPr="00746871">
        <w:rPr>
          <w:rFonts w:ascii="黑体" w:eastAsia="黑体" w:hAnsi="黑体" w:hint="eastAsia"/>
        </w:rPr>
        <w:t>3</w:t>
      </w:r>
      <w:r w:rsidRPr="00746871">
        <w:rPr>
          <w:rFonts w:ascii="黑体" w:eastAsia="黑体" w:hAnsi="黑体"/>
        </w:rPr>
        <w:t>.</w:t>
      </w:r>
      <w:r w:rsidR="001132EB">
        <w:rPr>
          <w:rFonts w:ascii="黑体" w:eastAsia="黑体" w:hAnsi="黑体"/>
        </w:rPr>
        <w:t>2</w:t>
      </w:r>
    </w:p>
    <w:p w14:paraId="6F76F0B3" w14:textId="25DCF421" w:rsidR="007668F0" w:rsidRPr="00746871" w:rsidRDefault="007668F0" w:rsidP="007668F0">
      <w:pPr>
        <w:ind w:firstLine="420"/>
        <w:rPr>
          <w:rFonts w:ascii="黑体" w:eastAsia="黑体"/>
        </w:rPr>
      </w:pPr>
      <w:r w:rsidRPr="00746871">
        <w:rPr>
          <w:rFonts w:ascii="黑体" w:eastAsia="黑体" w:hint="eastAsia"/>
        </w:rPr>
        <w:t>温室气体 greenhouse gas</w:t>
      </w:r>
    </w:p>
    <w:p w14:paraId="40FCF2D3" w14:textId="77777777" w:rsidR="007668F0" w:rsidRPr="00746871" w:rsidRDefault="007668F0" w:rsidP="007668F0">
      <w:pPr>
        <w:ind w:firstLine="420"/>
        <w:rPr>
          <w:rFonts w:ascii="宋体" w:hAnsi="宋体"/>
        </w:rPr>
      </w:pPr>
      <w:r w:rsidRPr="00746871">
        <w:rPr>
          <w:rFonts w:ascii="宋体" w:hAnsi="宋体" w:hint="eastAsia"/>
        </w:rPr>
        <w:t>大气层中自然存在的和由于人类活动产生的能够吸收和散发由地球表面、大气层和云层所产生的、波长在红外光谱内的辐射的气态成份。</w:t>
      </w:r>
    </w:p>
    <w:p w14:paraId="42FC5381" w14:textId="77777777" w:rsidR="007668F0" w:rsidRPr="00746871" w:rsidRDefault="007668F0" w:rsidP="00826F4B">
      <w:pPr>
        <w:pStyle w:val="a0"/>
        <w:numPr>
          <w:ilvl w:val="0"/>
          <w:numId w:val="0"/>
        </w:numPr>
        <w:ind w:firstLineChars="200" w:firstLine="420"/>
        <w:jc w:val="left"/>
        <w:rPr>
          <w:rFonts w:hAnsi="宋体"/>
        </w:rPr>
      </w:pPr>
      <w:r w:rsidRPr="00746871">
        <w:rPr>
          <w:rFonts w:hAnsi="宋体" w:hint="eastAsia"/>
          <w:kern w:val="2"/>
          <w:sz w:val="21"/>
          <w:szCs w:val="24"/>
        </w:rPr>
        <w:t>注：本部分涉及的温室气体只包含</w:t>
      </w:r>
      <w:r w:rsidR="0032324A" w:rsidRPr="00746871">
        <w:rPr>
          <w:rFonts w:hAnsi="宋体" w:hint="eastAsia"/>
          <w:kern w:val="2"/>
          <w:sz w:val="21"/>
          <w:szCs w:val="24"/>
        </w:rPr>
        <w:t>二氧化碳</w:t>
      </w:r>
      <w:r w:rsidRPr="00746871">
        <w:rPr>
          <w:rFonts w:hAnsi="宋体" w:hint="eastAsia"/>
          <w:kern w:val="2"/>
          <w:sz w:val="21"/>
          <w:szCs w:val="24"/>
        </w:rPr>
        <w:t xml:space="preserve"> （C</w:t>
      </w:r>
      <w:r w:rsidRPr="00746871">
        <w:rPr>
          <w:rFonts w:hAnsi="宋体"/>
          <w:kern w:val="2"/>
          <w:sz w:val="21"/>
          <w:szCs w:val="24"/>
        </w:rPr>
        <w:t>O</w:t>
      </w:r>
      <w:r w:rsidRPr="00746871">
        <w:rPr>
          <w:rFonts w:hAnsi="宋体"/>
          <w:kern w:val="2"/>
          <w:sz w:val="21"/>
          <w:szCs w:val="24"/>
          <w:vertAlign w:val="subscript"/>
        </w:rPr>
        <w:t>2</w:t>
      </w:r>
      <w:r w:rsidRPr="00746871">
        <w:rPr>
          <w:rFonts w:hAnsi="宋体" w:hint="eastAsia"/>
          <w:kern w:val="2"/>
          <w:sz w:val="21"/>
          <w:szCs w:val="24"/>
        </w:rPr>
        <w:t>）</w:t>
      </w:r>
    </w:p>
    <w:p w14:paraId="651C674F" w14:textId="2469273F" w:rsidR="007668F0" w:rsidRPr="00746871" w:rsidRDefault="007668F0" w:rsidP="007668F0">
      <w:pPr>
        <w:pStyle w:val="a9"/>
        <w:rPr>
          <w:rFonts w:ascii="黑体" w:eastAsia="黑体" w:hAnsi="黑体"/>
        </w:rPr>
      </w:pPr>
      <w:r w:rsidRPr="00746871">
        <w:rPr>
          <w:rFonts w:ascii="黑体" w:eastAsia="黑体" w:hAnsi="黑体"/>
        </w:rPr>
        <w:lastRenderedPageBreak/>
        <w:t>[GB/T 32150</w:t>
      </w:r>
      <w:r w:rsidR="00EB5939">
        <w:rPr>
          <w:rFonts w:ascii="黑体" w:eastAsia="黑体" w:hAnsi="黑体" w:hint="eastAsia"/>
        </w:rPr>
        <w:t>-</w:t>
      </w:r>
      <w:r w:rsidR="00EB5939">
        <w:rPr>
          <w:rFonts w:ascii="黑体" w:eastAsia="黑体" w:hAnsi="黑体"/>
        </w:rPr>
        <w:t>2015</w:t>
      </w:r>
      <w:r w:rsidRPr="00746871">
        <w:rPr>
          <w:rFonts w:ascii="黑体" w:eastAsia="黑体" w:hAnsi="黑体"/>
        </w:rPr>
        <w:t>,</w:t>
      </w:r>
      <w:r w:rsidRPr="00746871">
        <w:rPr>
          <w:rFonts w:ascii="黑体" w:eastAsia="黑体" w:hAnsi="黑体" w:hint="eastAsia"/>
        </w:rPr>
        <w:t>定义</w:t>
      </w:r>
      <w:r w:rsidRPr="00746871">
        <w:rPr>
          <w:rFonts w:ascii="黑体" w:eastAsia="黑体" w:hAnsi="黑体"/>
        </w:rPr>
        <w:t xml:space="preserve"> 3.1]</w:t>
      </w:r>
    </w:p>
    <w:p w14:paraId="0DB42DAD" w14:textId="1BAA08E6" w:rsidR="007668F0" w:rsidRPr="00746871" w:rsidRDefault="007668F0" w:rsidP="000A0D0A">
      <w:pPr>
        <w:spacing w:beforeLines="50" w:before="156" w:afterLines="50" w:after="156"/>
        <w:ind w:firstLineChars="0" w:firstLine="0"/>
        <w:rPr>
          <w:rFonts w:ascii="黑体" w:eastAsia="黑体" w:hAnsi="黑体"/>
        </w:rPr>
      </w:pPr>
      <w:r w:rsidRPr="00746871">
        <w:rPr>
          <w:rFonts w:ascii="黑体" w:eastAsia="黑体" w:hAnsi="黑体" w:hint="eastAsia"/>
        </w:rPr>
        <w:t>3</w:t>
      </w:r>
      <w:r w:rsidRPr="00746871">
        <w:rPr>
          <w:rFonts w:ascii="黑体" w:eastAsia="黑体" w:hAnsi="黑体"/>
        </w:rPr>
        <w:t>.</w:t>
      </w:r>
      <w:r w:rsidR="001132EB">
        <w:rPr>
          <w:rFonts w:ascii="黑体" w:eastAsia="黑体" w:hAnsi="黑体"/>
        </w:rPr>
        <w:t>3</w:t>
      </w:r>
    </w:p>
    <w:p w14:paraId="5448EF82" w14:textId="77777777" w:rsidR="007668F0" w:rsidRPr="00746871" w:rsidRDefault="007668F0" w:rsidP="007668F0">
      <w:pPr>
        <w:pStyle w:val="a9"/>
        <w:rPr>
          <w:rFonts w:ascii="黑体" w:eastAsia="黑体" w:hAnsi="黑体"/>
        </w:rPr>
      </w:pPr>
      <w:r w:rsidRPr="00746871">
        <w:rPr>
          <w:rFonts w:ascii="黑体" w:eastAsia="黑体" w:hAnsi="黑体" w:hint="eastAsia"/>
        </w:rPr>
        <w:t>报告主体  reporting entity</w:t>
      </w:r>
    </w:p>
    <w:p w14:paraId="0D1927C5" w14:textId="77777777" w:rsidR="007668F0" w:rsidRPr="00746871" w:rsidRDefault="007668F0" w:rsidP="003B15BB">
      <w:pPr>
        <w:ind w:firstLine="420"/>
      </w:pPr>
      <w:r w:rsidRPr="00746871">
        <w:rPr>
          <w:rFonts w:hint="eastAsia"/>
        </w:rPr>
        <w:t>具有温室气体排放行为的法人报告主体或视同法人的独立核算单位。</w:t>
      </w:r>
    </w:p>
    <w:p w14:paraId="1917665E" w14:textId="0CFB364B" w:rsidR="007668F0" w:rsidRPr="00746871" w:rsidRDefault="007668F0" w:rsidP="007668F0">
      <w:pPr>
        <w:pStyle w:val="a9"/>
        <w:rPr>
          <w:rFonts w:ascii="黑体" w:eastAsia="黑体" w:hAnsi="黑体"/>
        </w:rPr>
      </w:pPr>
      <w:r w:rsidRPr="00746871">
        <w:rPr>
          <w:rFonts w:ascii="黑体" w:eastAsia="黑体" w:hAnsi="黑体"/>
        </w:rPr>
        <w:t>[GB/T 32150</w:t>
      </w:r>
      <w:r w:rsidR="006A0F21">
        <w:rPr>
          <w:rFonts w:ascii="黑体" w:eastAsia="黑体" w:hAnsi="黑体"/>
        </w:rPr>
        <w:t>-2015</w:t>
      </w:r>
      <w:r w:rsidRPr="00746871">
        <w:rPr>
          <w:rFonts w:ascii="黑体" w:eastAsia="黑体" w:hAnsi="黑体"/>
        </w:rPr>
        <w:t>,</w:t>
      </w:r>
      <w:r w:rsidRPr="00746871">
        <w:rPr>
          <w:rFonts w:ascii="黑体" w:eastAsia="黑体" w:hAnsi="黑体" w:hint="eastAsia"/>
        </w:rPr>
        <w:t>定义</w:t>
      </w:r>
      <w:r w:rsidRPr="00746871">
        <w:rPr>
          <w:rFonts w:ascii="黑体" w:eastAsia="黑体" w:hAnsi="黑体"/>
        </w:rPr>
        <w:t xml:space="preserve"> 3.2]</w:t>
      </w:r>
    </w:p>
    <w:p w14:paraId="5457C170" w14:textId="77777777" w:rsidR="007668F0" w:rsidRPr="00746871" w:rsidRDefault="007668F0" w:rsidP="000A0D0A">
      <w:pPr>
        <w:spacing w:beforeLines="50" w:before="156" w:afterLines="50" w:after="156"/>
        <w:ind w:firstLineChars="0" w:firstLine="0"/>
        <w:rPr>
          <w:rFonts w:ascii="黑体" w:eastAsia="黑体" w:hAnsi="黑体"/>
        </w:rPr>
      </w:pPr>
      <w:r w:rsidRPr="00746871">
        <w:rPr>
          <w:rFonts w:ascii="黑体" w:eastAsia="黑体" w:hAnsi="黑体" w:hint="eastAsia"/>
        </w:rPr>
        <w:t>3</w:t>
      </w:r>
      <w:r w:rsidRPr="00746871">
        <w:rPr>
          <w:rFonts w:ascii="黑体" w:eastAsia="黑体" w:hAnsi="黑体"/>
        </w:rPr>
        <w:t>.4</w:t>
      </w:r>
    </w:p>
    <w:p w14:paraId="45A4C1D9" w14:textId="77777777" w:rsidR="007668F0" w:rsidRPr="00746871" w:rsidRDefault="007668F0" w:rsidP="007668F0">
      <w:pPr>
        <w:pStyle w:val="a9"/>
        <w:rPr>
          <w:rFonts w:ascii="黑体" w:eastAsia="黑体" w:hAnsi="黑体"/>
        </w:rPr>
      </w:pPr>
      <w:r w:rsidRPr="00746871">
        <w:rPr>
          <w:rFonts w:ascii="黑体" w:eastAsia="黑体" w:hAnsi="黑体" w:hint="eastAsia"/>
        </w:rPr>
        <w:t>排放因子  emission factor</w:t>
      </w:r>
    </w:p>
    <w:p w14:paraId="5CAD8BB4" w14:textId="77777777" w:rsidR="007668F0" w:rsidRPr="00746871" w:rsidRDefault="007668F0" w:rsidP="007668F0">
      <w:pPr>
        <w:pStyle w:val="a9"/>
        <w:rPr>
          <w:rFonts w:eastAsia="宋体" w:hAnsi="宋体"/>
        </w:rPr>
      </w:pPr>
      <w:r w:rsidRPr="00746871">
        <w:rPr>
          <w:rFonts w:eastAsia="宋体" w:hAnsi="宋体" w:hint="eastAsia"/>
        </w:rPr>
        <w:t>表征单位生产或消费活动量的温室气体排放的系数。</w:t>
      </w:r>
    </w:p>
    <w:p w14:paraId="08D56B7C" w14:textId="77777777" w:rsidR="007668F0" w:rsidRPr="00746871" w:rsidRDefault="007668F0" w:rsidP="007668F0">
      <w:pPr>
        <w:pStyle w:val="a9"/>
        <w:rPr>
          <w:rFonts w:eastAsia="宋体" w:hAnsi="宋体"/>
        </w:rPr>
      </w:pPr>
      <w:r w:rsidRPr="00746871">
        <w:rPr>
          <w:rFonts w:eastAsia="宋体" w:hAnsi="宋体" w:hint="eastAsia"/>
        </w:rPr>
        <w:t>注：例如每单位化石燃料消耗所对应的二氧化碳排放量、购入的每千瓦时电量所对应的二氧化碳排放量等。</w:t>
      </w:r>
    </w:p>
    <w:p w14:paraId="7E892785" w14:textId="131EEE0A" w:rsidR="007668F0" w:rsidRPr="00746871" w:rsidRDefault="007668F0" w:rsidP="007668F0">
      <w:pPr>
        <w:pStyle w:val="a9"/>
        <w:rPr>
          <w:rFonts w:ascii="黑体" w:eastAsia="黑体" w:hAnsi="黑体"/>
        </w:rPr>
      </w:pPr>
      <w:r w:rsidRPr="00746871">
        <w:rPr>
          <w:rFonts w:ascii="黑体" w:eastAsia="黑体" w:hAnsi="黑体"/>
        </w:rPr>
        <w:t>[GB/T 32150</w:t>
      </w:r>
      <w:r w:rsidR="006A0F21">
        <w:rPr>
          <w:rFonts w:ascii="黑体" w:eastAsia="黑体" w:hAnsi="黑体"/>
        </w:rPr>
        <w:t>-2015</w:t>
      </w:r>
      <w:r w:rsidRPr="00746871">
        <w:rPr>
          <w:rFonts w:ascii="黑体" w:eastAsia="黑体" w:hAnsi="黑体"/>
        </w:rPr>
        <w:t>,</w:t>
      </w:r>
      <w:r w:rsidRPr="00746871">
        <w:rPr>
          <w:rFonts w:ascii="黑体" w:eastAsia="黑体" w:hAnsi="黑体" w:hint="eastAsia"/>
        </w:rPr>
        <w:t>定义</w:t>
      </w:r>
      <w:r w:rsidRPr="00746871">
        <w:rPr>
          <w:rFonts w:ascii="黑体" w:eastAsia="黑体" w:hAnsi="黑体"/>
        </w:rPr>
        <w:t xml:space="preserve"> 3.13]</w:t>
      </w:r>
    </w:p>
    <w:p w14:paraId="6EBE1159" w14:textId="77777777" w:rsidR="007668F0" w:rsidRPr="00746871" w:rsidRDefault="007668F0" w:rsidP="000A0D0A">
      <w:pPr>
        <w:spacing w:beforeLines="50" w:before="156" w:afterLines="50" w:after="156"/>
        <w:ind w:firstLineChars="0" w:firstLine="0"/>
        <w:rPr>
          <w:rFonts w:ascii="黑体" w:eastAsia="黑体" w:hAnsi="黑体"/>
        </w:rPr>
      </w:pPr>
      <w:r w:rsidRPr="00746871">
        <w:rPr>
          <w:rFonts w:ascii="黑体" w:eastAsia="黑体" w:hAnsi="黑体" w:hint="eastAsia"/>
        </w:rPr>
        <w:t>3</w:t>
      </w:r>
      <w:r w:rsidRPr="00746871">
        <w:rPr>
          <w:rFonts w:ascii="黑体" w:eastAsia="黑体" w:hAnsi="黑体"/>
        </w:rPr>
        <w:t>.5</w:t>
      </w:r>
    </w:p>
    <w:p w14:paraId="0CAC833D" w14:textId="77777777" w:rsidR="007668F0" w:rsidRPr="00746871" w:rsidRDefault="007668F0" w:rsidP="007668F0">
      <w:pPr>
        <w:pStyle w:val="a9"/>
        <w:rPr>
          <w:rFonts w:ascii="黑体" w:eastAsia="黑体" w:hAnsi="黑体"/>
        </w:rPr>
      </w:pPr>
      <w:r w:rsidRPr="00746871">
        <w:rPr>
          <w:rFonts w:ascii="黑体" w:eastAsia="黑体" w:hAnsi="黑体" w:hint="eastAsia"/>
        </w:rPr>
        <w:t>活动水平数据  activity data</w:t>
      </w:r>
    </w:p>
    <w:p w14:paraId="51337108" w14:textId="77777777" w:rsidR="007668F0" w:rsidRPr="00746871" w:rsidRDefault="007668F0" w:rsidP="007668F0">
      <w:pPr>
        <w:pStyle w:val="a9"/>
        <w:rPr>
          <w:rFonts w:eastAsia="宋体" w:hAnsi="宋体"/>
        </w:rPr>
      </w:pPr>
      <w:r w:rsidRPr="00746871">
        <w:rPr>
          <w:rFonts w:eastAsia="宋体" w:hAnsi="宋体" w:hint="eastAsia"/>
        </w:rPr>
        <w:t>导致温室气体排放的生产或消费活动量的表征值。</w:t>
      </w:r>
    </w:p>
    <w:p w14:paraId="3D8430C0" w14:textId="77777777" w:rsidR="007668F0" w:rsidRPr="00746871" w:rsidRDefault="007668F0" w:rsidP="007668F0">
      <w:pPr>
        <w:pStyle w:val="a9"/>
        <w:rPr>
          <w:rFonts w:eastAsia="宋体" w:hAnsi="宋体"/>
        </w:rPr>
      </w:pPr>
      <w:r w:rsidRPr="00746871">
        <w:rPr>
          <w:rFonts w:eastAsia="宋体" w:hAnsi="宋体" w:hint="eastAsia"/>
        </w:rPr>
        <w:t>注：例如各种化石燃料的消耗量、原材料的使用量、购入的电量、热量等。</w:t>
      </w:r>
    </w:p>
    <w:p w14:paraId="134EFE5C" w14:textId="29497A74" w:rsidR="007668F0" w:rsidRPr="00746871" w:rsidRDefault="007668F0" w:rsidP="007668F0">
      <w:pPr>
        <w:pStyle w:val="a9"/>
        <w:rPr>
          <w:rFonts w:ascii="黑体" w:eastAsia="黑体" w:hAnsi="黑体"/>
        </w:rPr>
      </w:pPr>
      <w:r w:rsidRPr="00746871">
        <w:rPr>
          <w:rFonts w:ascii="黑体" w:eastAsia="黑体" w:hAnsi="黑体" w:hint="eastAsia"/>
        </w:rPr>
        <w:t>[</w:t>
      </w:r>
      <w:r w:rsidRPr="00746871">
        <w:rPr>
          <w:rFonts w:ascii="黑体" w:eastAsia="黑体" w:hAnsi="黑体"/>
        </w:rPr>
        <w:t>GB/T 32150</w:t>
      </w:r>
      <w:r w:rsidR="006A0F21">
        <w:rPr>
          <w:rFonts w:ascii="黑体" w:eastAsia="黑体" w:hAnsi="黑体"/>
        </w:rPr>
        <w:t>-2015</w:t>
      </w:r>
      <w:r w:rsidRPr="00746871">
        <w:rPr>
          <w:rFonts w:ascii="黑体" w:eastAsia="黑体" w:hAnsi="黑体"/>
        </w:rPr>
        <w:t>,</w:t>
      </w:r>
      <w:r w:rsidRPr="00746871">
        <w:rPr>
          <w:rFonts w:ascii="黑体" w:eastAsia="黑体" w:hAnsi="黑体" w:hint="eastAsia"/>
        </w:rPr>
        <w:t xml:space="preserve">定义 </w:t>
      </w:r>
      <w:r w:rsidRPr="00746871">
        <w:rPr>
          <w:rFonts w:ascii="黑体" w:eastAsia="黑体" w:hAnsi="黑体"/>
        </w:rPr>
        <w:t>3.12</w:t>
      </w:r>
      <w:r w:rsidRPr="00746871">
        <w:rPr>
          <w:rFonts w:ascii="黑体" w:eastAsia="黑体" w:hAnsi="黑体" w:hint="eastAsia"/>
        </w:rPr>
        <w:t>]</w:t>
      </w:r>
    </w:p>
    <w:p w14:paraId="16C95044" w14:textId="2713D3F8" w:rsidR="007668F0" w:rsidRPr="00746871" w:rsidRDefault="007668F0" w:rsidP="000A0D0A">
      <w:pPr>
        <w:spacing w:beforeLines="50" w:before="156" w:afterLines="50" w:after="156"/>
        <w:ind w:firstLineChars="0" w:firstLine="0"/>
        <w:rPr>
          <w:rFonts w:ascii="黑体" w:eastAsia="黑体" w:hAnsi="黑体"/>
        </w:rPr>
      </w:pPr>
      <w:r w:rsidRPr="00746871">
        <w:rPr>
          <w:rFonts w:ascii="黑体" w:eastAsia="黑体" w:hAnsi="黑体" w:hint="eastAsia"/>
        </w:rPr>
        <w:t>3</w:t>
      </w:r>
      <w:r w:rsidRPr="00746871">
        <w:rPr>
          <w:rFonts w:ascii="黑体" w:eastAsia="黑体" w:hAnsi="黑体"/>
        </w:rPr>
        <w:t>.</w:t>
      </w:r>
      <w:r w:rsidR="003738DC" w:rsidRPr="00746871">
        <w:rPr>
          <w:rFonts w:ascii="黑体" w:eastAsia="黑体" w:hAnsi="黑体"/>
        </w:rPr>
        <w:t>6</w:t>
      </w:r>
    </w:p>
    <w:p w14:paraId="44190A5C" w14:textId="77777777" w:rsidR="007668F0" w:rsidRPr="00746871" w:rsidRDefault="007668F0" w:rsidP="007668F0">
      <w:pPr>
        <w:pStyle w:val="a9"/>
        <w:rPr>
          <w:rFonts w:ascii="黑体" w:eastAsia="黑体" w:hAnsi="黑体"/>
        </w:rPr>
      </w:pPr>
      <w:r w:rsidRPr="00746871">
        <w:rPr>
          <w:rFonts w:ascii="黑体" w:eastAsia="黑体" w:hAnsi="黑体" w:hint="eastAsia"/>
        </w:rPr>
        <w:t>委托方  client</w:t>
      </w:r>
    </w:p>
    <w:p w14:paraId="0FAF341B" w14:textId="77777777" w:rsidR="007668F0" w:rsidRPr="00746871" w:rsidRDefault="007668F0" w:rsidP="007668F0">
      <w:pPr>
        <w:pStyle w:val="a9"/>
        <w:rPr>
          <w:rFonts w:eastAsia="宋体" w:hAnsi="宋体"/>
        </w:rPr>
      </w:pPr>
      <w:r w:rsidRPr="00746871">
        <w:rPr>
          <w:rFonts w:eastAsia="宋体" w:hAnsi="宋体" w:hint="eastAsia"/>
        </w:rPr>
        <w:t>要求进行核查的组织。</w:t>
      </w:r>
    </w:p>
    <w:p w14:paraId="4F6EAAA0" w14:textId="77777777" w:rsidR="007668F0" w:rsidRPr="00746871" w:rsidRDefault="007668F0" w:rsidP="007668F0">
      <w:pPr>
        <w:pStyle w:val="a9"/>
        <w:rPr>
          <w:rFonts w:eastAsia="宋体" w:hAnsi="宋体"/>
        </w:rPr>
      </w:pPr>
      <w:r w:rsidRPr="00746871">
        <w:rPr>
          <w:rFonts w:eastAsia="宋体" w:hAnsi="宋体" w:hint="eastAsia"/>
        </w:rPr>
        <w:t>注：委托方可以是责任方、GHG方案管理者或其他利益相关方。</w:t>
      </w:r>
    </w:p>
    <w:p w14:paraId="6394AC84" w14:textId="29296F70" w:rsidR="007668F0" w:rsidRPr="00746871" w:rsidRDefault="007668F0" w:rsidP="007668F0">
      <w:pPr>
        <w:pStyle w:val="a9"/>
        <w:rPr>
          <w:rFonts w:ascii="黑体" w:eastAsia="黑体" w:hAnsi="黑体"/>
        </w:rPr>
      </w:pPr>
      <w:r w:rsidRPr="00746871">
        <w:rPr>
          <w:rFonts w:ascii="黑体" w:eastAsia="黑体" w:hAnsi="黑体"/>
        </w:rPr>
        <w:t>[ISO 14064-1</w:t>
      </w:r>
      <w:r w:rsidR="003A2D9B">
        <w:rPr>
          <w:rFonts w:ascii="黑体" w:eastAsia="黑体" w:hAnsi="黑体"/>
        </w:rPr>
        <w:t>-2018</w:t>
      </w:r>
      <w:r w:rsidRPr="00746871">
        <w:rPr>
          <w:rFonts w:ascii="黑体" w:eastAsia="黑体" w:hAnsi="黑体"/>
        </w:rPr>
        <w:t>,</w:t>
      </w:r>
      <w:r w:rsidRPr="00746871">
        <w:rPr>
          <w:rFonts w:ascii="黑体" w:eastAsia="黑体" w:hAnsi="黑体" w:hint="eastAsia"/>
        </w:rPr>
        <w:t>定义</w:t>
      </w:r>
      <w:r w:rsidRPr="00746871">
        <w:rPr>
          <w:rFonts w:ascii="黑体" w:eastAsia="黑体" w:hAnsi="黑体"/>
        </w:rPr>
        <w:t xml:space="preserve"> 2.25]</w:t>
      </w:r>
    </w:p>
    <w:p w14:paraId="59AB2F79" w14:textId="62785015" w:rsidR="007668F0" w:rsidRPr="00746871" w:rsidRDefault="007668F0" w:rsidP="000A0D0A">
      <w:pPr>
        <w:spacing w:beforeLines="50" w:before="156" w:afterLines="50" w:after="156"/>
        <w:ind w:firstLineChars="0" w:firstLine="0"/>
        <w:rPr>
          <w:rFonts w:ascii="黑体" w:eastAsia="黑体" w:hAnsi="黑体"/>
        </w:rPr>
      </w:pPr>
      <w:r w:rsidRPr="00746871">
        <w:rPr>
          <w:rFonts w:ascii="黑体" w:eastAsia="黑体" w:hAnsi="黑体" w:hint="eastAsia"/>
        </w:rPr>
        <w:t>3</w:t>
      </w:r>
      <w:r w:rsidRPr="00746871">
        <w:rPr>
          <w:rFonts w:ascii="黑体" w:eastAsia="黑体" w:hAnsi="黑体"/>
        </w:rPr>
        <w:t>.</w:t>
      </w:r>
      <w:r w:rsidR="003738DC" w:rsidRPr="00746871">
        <w:rPr>
          <w:rFonts w:ascii="黑体" w:eastAsia="黑体" w:hAnsi="黑体"/>
        </w:rPr>
        <w:t>7</w:t>
      </w:r>
    </w:p>
    <w:p w14:paraId="174927E6" w14:textId="77777777" w:rsidR="007668F0" w:rsidRPr="00746871" w:rsidRDefault="007668F0" w:rsidP="007668F0">
      <w:pPr>
        <w:pStyle w:val="a9"/>
        <w:rPr>
          <w:rFonts w:ascii="黑体" w:eastAsia="黑体" w:hAnsi="黑体"/>
        </w:rPr>
      </w:pPr>
      <w:r w:rsidRPr="00746871">
        <w:rPr>
          <w:rFonts w:ascii="黑体" w:eastAsia="黑体" w:hAnsi="黑体" w:hint="eastAsia"/>
        </w:rPr>
        <w:t>监测 mornitoring</w:t>
      </w:r>
    </w:p>
    <w:p w14:paraId="6C8C6E74" w14:textId="4E80A94A" w:rsidR="007668F0" w:rsidRPr="00746871" w:rsidRDefault="007668F0" w:rsidP="00257278">
      <w:pPr>
        <w:pStyle w:val="a9"/>
        <w:rPr>
          <w:rFonts w:eastAsia="宋体" w:hAnsi="宋体"/>
        </w:rPr>
      </w:pPr>
      <w:r w:rsidRPr="00746871">
        <w:rPr>
          <w:rFonts w:eastAsia="宋体" w:hAnsi="宋体" w:hint="eastAsia"/>
        </w:rPr>
        <w:t>对G</w:t>
      </w:r>
      <w:r w:rsidRPr="00746871">
        <w:rPr>
          <w:rFonts w:eastAsia="宋体" w:hAnsi="宋体"/>
        </w:rPr>
        <w:t>HG</w:t>
      </w:r>
      <w:r w:rsidRPr="00746871">
        <w:rPr>
          <w:rFonts w:eastAsia="宋体" w:hAnsi="宋体" w:hint="eastAsia"/>
        </w:rPr>
        <w:t>排放和</w:t>
      </w:r>
      <w:r w:rsidR="0086359C">
        <w:rPr>
          <w:rFonts w:eastAsia="宋体" w:hAnsi="宋体" w:hint="eastAsia"/>
        </w:rPr>
        <w:t>清除</w:t>
      </w:r>
      <w:r w:rsidRPr="00746871">
        <w:rPr>
          <w:rFonts w:eastAsia="宋体" w:hAnsi="宋体" w:hint="eastAsia"/>
        </w:rPr>
        <w:t>或其他有关G</w:t>
      </w:r>
      <w:r w:rsidRPr="00746871">
        <w:rPr>
          <w:rFonts w:eastAsia="宋体" w:hAnsi="宋体"/>
        </w:rPr>
        <w:t>HG</w:t>
      </w:r>
      <w:r w:rsidRPr="00746871">
        <w:rPr>
          <w:rFonts w:eastAsia="宋体" w:hAnsi="宋体" w:hint="eastAsia"/>
        </w:rPr>
        <w:t>的数据的连续的或周期性的评价。</w:t>
      </w:r>
    </w:p>
    <w:p w14:paraId="6276586B" w14:textId="7F08ABFA" w:rsidR="007668F0" w:rsidRPr="00746871" w:rsidRDefault="007668F0" w:rsidP="007668F0">
      <w:pPr>
        <w:pStyle w:val="a9"/>
        <w:rPr>
          <w:rFonts w:ascii="黑体" w:eastAsia="黑体" w:hAnsi="黑体"/>
        </w:rPr>
      </w:pPr>
      <w:r w:rsidRPr="00746871">
        <w:rPr>
          <w:rFonts w:ascii="黑体" w:eastAsia="黑体" w:hAnsi="黑体" w:hint="eastAsia"/>
        </w:rPr>
        <w:t>[</w:t>
      </w:r>
      <w:r w:rsidRPr="00746871">
        <w:rPr>
          <w:rFonts w:ascii="黑体" w:eastAsia="黑体" w:hAnsi="黑体"/>
        </w:rPr>
        <w:t>ISO 14064-1</w:t>
      </w:r>
      <w:r w:rsidR="003A2D9B">
        <w:rPr>
          <w:rFonts w:ascii="黑体" w:eastAsia="黑体" w:hAnsi="黑体"/>
        </w:rPr>
        <w:t>-2018</w:t>
      </w:r>
      <w:r w:rsidRPr="00746871">
        <w:rPr>
          <w:rFonts w:ascii="黑体" w:eastAsia="黑体" w:hAnsi="黑体"/>
        </w:rPr>
        <w:t>,</w:t>
      </w:r>
      <w:r w:rsidRPr="00746871">
        <w:rPr>
          <w:rFonts w:ascii="黑体" w:eastAsia="黑体" w:hAnsi="黑体" w:hint="eastAsia"/>
        </w:rPr>
        <w:t xml:space="preserve">定义 </w:t>
      </w:r>
      <w:r w:rsidRPr="00746871">
        <w:rPr>
          <w:rFonts w:ascii="黑体" w:eastAsia="黑体" w:hAnsi="黑体"/>
        </w:rPr>
        <w:t>2.30]</w:t>
      </w:r>
    </w:p>
    <w:p w14:paraId="712AD982" w14:textId="5F5FC615" w:rsidR="007668F0" w:rsidRPr="00746871" w:rsidRDefault="007668F0" w:rsidP="000A0D0A">
      <w:pPr>
        <w:spacing w:beforeLines="50" w:before="156" w:afterLines="50" w:after="156"/>
        <w:ind w:firstLineChars="0" w:firstLine="0"/>
        <w:rPr>
          <w:rFonts w:ascii="黑体" w:eastAsia="黑体" w:hAnsi="黑体"/>
        </w:rPr>
      </w:pPr>
      <w:r w:rsidRPr="00746871">
        <w:rPr>
          <w:rFonts w:ascii="黑体" w:eastAsia="黑体" w:hAnsi="黑体"/>
        </w:rPr>
        <w:t>3.</w:t>
      </w:r>
      <w:r w:rsidR="003738DC" w:rsidRPr="00746871">
        <w:rPr>
          <w:rFonts w:ascii="黑体" w:eastAsia="黑体" w:hAnsi="黑体"/>
        </w:rPr>
        <w:t>8</w:t>
      </w:r>
    </w:p>
    <w:p w14:paraId="13E74BDC" w14:textId="77777777" w:rsidR="007668F0" w:rsidRPr="00746871" w:rsidRDefault="007668F0" w:rsidP="007668F0">
      <w:pPr>
        <w:ind w:leftChars="150" w:left="315" w:firstLineChars="50" w:firstLine="105"/>
        <w:rPr>
          <w:rStyle w:val="longtext"/>
          <w:rFonts w:ascii="黑体" w:eastAsia="黑体" w:hAnsi="黑体" w:cs="Arial"/>
          <w:kern w:val="0"/>
          <w:szCs w:val="20"/>
        </w:rPr>
      </w:pPr>
      <w:r w:rsidRPr="00746871">
        <w:rPr>
          <w:rStyle w:val="longtext"/>
          <w:rFonts w:ascii="黑体" w:eastAsia="黑体" w:hAnsi="黑体" w:cs="Arial" w:hint="eastAsia"/>
          <w:kern w:val="0"/>
          <w:szCs w:val="20"/>
        </w:rPr>
        <w:t>核查准则  verification criteria</w:t>
      </w:r>
    </w:p>
    <w:p w14:paraId="2B5605AC" w14:textId="77777777" w:rsidR="007668F0" w:rsidRPr="00746871" w:rsidRDefault="007668F0" w:rsidP="00257278">
      <w:pPr>
        <w:pStyle w:val="a9"/>
        <w:rPr>
          <w:rFonts w:eastAsia="宋体"/>
        </w:rPr>
      </w:pPr>
      <w:r w:rsidRPr="00746871">
        <w:rPr>
          <w:rFonts w:eastAsia="宋体" w:hint="eastAsia"/>
        </w:rPr>
        <w:t>在对证据进行比较时作为参照的方针、程序或要求。</w:t>
      </w:r>
    </w:p>
    <w:p w14:paraId="1E246DA8" w14:textId="77777777" w:rsidR="007668F0" w:rsidRPr="00746871" w:rsidRDefault="007668F0" w:rsidP="00257278">
      <w:pPr>
        <w:pStyle w:val="a9"/>
        <w:rPr>
          <w:rFonts w:eastAsia="宋体"/>
        </w:rPr>
      </w:pPr>
      <w:r w:rsidRPr="00746871">
        <w:rPr>
          <w:rFonts w:eastAsia="宋体" w:hint="eastAsia"/>
        </w:rPr>
        <w:t>注：核查准则可以是G</w:t>
      </w:r>
      <w:r w:rsidRPr="00746871">
        <w:rPr>
          <w:rFonts w:eastAsia="宋体"/>
        </w:rPr>
        <w:t>HG</w:t>
      </w:r>
      <w:r w:rsidRPr="00746871">
        <w:rPr>
          <w:rFonts w:eastAsia="宋体" w:hint="eastAsia"/>
        </w:rPr>
        <w:t>方案、自愿报告行动、技术规范或良好实践指南等规定的。</w:t>
      </w:r>
    </w:p>
    <w:p w14:paraId="768F7528" w14:textId="69BD3C75" w:rsidR="007668F0" w:rsidRPr="00746871" w:rsidRDefault="007668F0" w:rsidP="003B6D04">
      <w:pPr>
        <w:pStyle w:val="a9"/>
        <w:rPr>
          <w:rFonts w:ascii="黑体" w:eastAsia="黑体" w:hAnsi="黑体"/>
        </w:rPr>
      </w:pPr>
      <w:r w:rsidRPr="00746871">
        <w:rPr>
          <w:rFonts w:ascii="黑体" w:eastAsia="黑体" w:hAnsi="黑体" w:hint="eastAsia"/>
        </w:rPr>
        <w:t>[</w:t>
      </w:r>
      <w:r w:rsidRPr="00746871">
        <w:rPr>
          <w:rFonts w:ascii="黑体" w:eastAsia="黑体" w:hAnsi="黑体"/>
        </w:rPr>
        <w:t>ISO 14064-1</w:t>
      </w:r>
      <w:r w:rsidR="003A2D9B">
        <w:rPr>
          <w:rFonts w:ascii="黑体" w:eastAsia="黑体" w:hAnsi="黑体"/>
        </w:rPr>
        <w:t>-2018</w:t>
      </w:r>
      <w:r w:rsidRPr="00746871">
        <w:rPr>
          <w:rFonts w:ascii="黑体" w:eastAsia="黑体" w:hAnsi="黑体"/>
        </w:rPr>
        <w:t>,</w:t>
      </w:r>
      <w:r w:rsidRPr="00746871">
        <w:rPr>
          <w:rFonts w:ascii="黑体" w:eastAsia="黑体" w:hAnsi="黑体" w:hint="eastAsia"/>
        </w:rPr>
        <w:t xml:space="preserve">定义 </w:t>
      </w:r>
      <w:r w:rsidRPr="00746871">
        <w:rPr>
          <w:rFonts w:ascii="黑体" w:eastAsia="黑体" w:hAnsi="黑体"/>
        </w:rPr>
        <w:t>2.32]</w:t>
      </w:r>
    </w:p>
    <w:p w14:paraId="6B91CC76" w14:textId="68A78C5C" w:rsidR="007668F0" w:rsidRPr="00746871" w:rsidRDefault="007668F0" w:rsidP="000A0D0A">
      <w:pPr>
        <w:spacing w:beforeLines="50" w:before="156" w:afterLines="50" w:after="156"/>
        <w:ind w:firstLineChars="0" w:firstLine="0"/>
        <w:rPr>
          <w:rFonts w:ascii="黑体" w:eastAsia="黑体" w:hAnsi="黑体"/>
        </w:rPr>
      </w:pPr>
      <w:r w:rsidRPr="00746871">
        <w:rPr>
          <w:rFonts w:ascii="黑体" w:eastAsia="黑体" w:hAnsi="黑体" w:hint="eastAsia"/>
        </w:rPr>
        <w:t>3</w:t>
      </w:r>
      <w:r w:rsidRPr="00746871">
        <w:rPr>
          <w:rFonts w:ascii="黑体" w:eastAsia="黑体" w:hAnsi="黑体"/>
        </w:rPr>
        <w:t>.</w:t>
      </w:r>
      <w:r w:rsidR="003738DC" w:rsidRPr="00746871">
        <w:rPr>
          <w:rFonts w:ascii="黑体" w:eastAsia="黑体" w:hAnsi="黑体"/>
        </w:rPr>
        <w:t>9</w:t>
      </w:r>
    </w:p>
    <w:p w14:paraId="535DB8DC" w14:textId="77777777" w:rsidR="007668F0" w:rsidRPr="00746871" w:rsidRDefault="007668F0" w:rsidP="007668F0">
      <w:pPr>
        <w:ind w:firstLine="420"/>
        <w:rPr>
          <w:rFonts w:ascii="黑体" w:eastAsia="黑体" w:hAnsi="黑体"/>
          <w:kern w:val="0"/>
          <w:szCs w:val="20"/>
        </w:rPr>
      </w:pPr>
      <w:r w:rsidRPr="00746871">
        <w:rPr>
          <w:rFonts w:ascii="黑体" w:eastAsia="黑体" w:hAnsi="黑体" w:hint="eastAsia"/>
          <w:kern w:val="0"/>
          <w:szCs w:val="20"/>
        </w:rPr>
        <w:t xml:space="preserve">不确定性 </w:t>
      </w:r>
      <w:r w:rsidRPr="00746871">
        <w:rPr>
          <w:rFonts w:ascii="黑体" w:eastAsia="黑体" w:hAnsi="黑体"/>
          <w:kern w:val="0"/>
          <w:szCs w:val="20"/>
        </w:rPr>
        <w:t>uncertainty</w:t>
      </w:r>
    </w:p>
    <w:p w14:paraId="4D89C2A3" w14:textId="77777777" w:rsidR="007668F0" w:rsidRPr="00746871" w:rsidRDefault="007668F0" w:rsidP="00257278">
      <w:pPr>
        <w:pStyle w:val="a9"/>
        <w:rPr>
          <w:rFonts w:eastAsia="宋体" w:hAnsi="宋体"/>
        </w:rPr>
      </w:pPr>
      <w:r w:rsidRPr="00746871">
        <w:rPr>
          <w:rFonts w:eastAsia="宋体" w:hAnsi="宋体" w:hint="eastAsia"/>
        </w:rPr>
        <w:t>与量化结果相关的、表征数值偏差的参数。上述数值偏差可合理地归因于所量化的数据集。</w:t>
      </w:r>
    </w:p>
    <w:p w14:paraId="38FCC494" w14:textId="77777777" w:rsidR="007668F0" w:rsidRPr="00746871" w:rsidRDefault="007668F0" w:rsidP="00257278">
      <w:pPr>
        <w:pStyle w:val="a9"/>
        <w:rPr>
          <w:rFonts w:eastAsia="宋体" w:hAnsi="宋体"/>
        </w:rPr>
      </w:pPr>
      <w:r w:rsidRPr="00746871">
        <w:rPr>
          <w:rFonts w:eastAsia="宋体" w:hAnsi="宋体" w:hint="eastAsia"/>
        </w:rPr>
        <w:t>注：不确定性信息一般要给出对可能发生的数值偏离的定量估算，并对可能引起差异的原因进行定性的描述。</w:t>
      </w:r>
    </w:p>
    <w:p w14:paraId="540E21AE" w14:textId="78ED3412" w:rsidR="007668F0" w:rsidRPr="00746871" w:rsidRDefault="007668F0" w:rsidP="0068586D">
      <w:pPr>
        <w:pStyle w:val="a9"/>
        <w:rPr>
          <w:rFonts w:eastAsia="宋体" w:hAnsi="宋体"/>
        </w:rPr>
      </w:pPr>
      <w:r w:rsidRPr="00746871">
        <w:rPr>
          <w:rFonts w:ascii="黑体" w:eastAsia="黑体" w:hAnsi="黑体" w:hint="eastAsia"/>
        </w:rPr>
        <w:t>[</w:t>
      </w:r>
      <w:r w:rsidRPr="00746871">
        <w:rPr>
          <w:rFonts w:ascii="黑体" w:eastAsia="黑体" w:hAnsi="黑体"/>
        </w:rPr>
        <w:t>ISO 14064-1</w:t>
      </w:r>
      <w:r w:rsidR="003A2D9B">
        <w:rPr>
          <w:rFonts w:ascii="黑体" w:eastAsia="黑体" w:hAnsi="黑体"/>
        </w:rPr>
        <w:t>-2018</w:t>
      </w:r>
      <w:r w:rsidRPr="00746871">
        <w:rPr>
          <w:rFonts w:ascii="黑体" w:eastAsia="黑体" w:hAnsi="黑体"/>
        </w:rPr>
        <w:t>,</w:t>
      </w:r>
      <w:r w:rsidRPr="00746871">
        <w:rPr>
          <w:rFonts w:ascii="黑体" w:eastAsia="黑体" w:hAnsi="黑体" w:hint="eastAsia"/>
        </w:rPr>
        <w:t xml:space="preserve">定义 </w:t>
      </w:r>
      <w:r w:rsidRPr="00746871">
        <w:rPr>
          <w:rFonts w:ascii="黑体" w:eastAsia="黑体" w:hAnsi="黑体"/>
        </w:rPr>
        <w:t>2.37]</w:t>
      </w:r>
    </w:p>
    <w:p w14:paraId="3D2EE7BA" w14:textId="77777777" w:rsidR="007668F0" w:rsidRPr="00746871" w:rsidRDefault="007668F0" w:rsidP="007668F0">
      <w:pPr>
        <w:pStyle w:val="a1"/>
        <w:numPr>
          <w:ilvl w:val="0"/>
          <w:numId w:val="1"/>
        </w:numPr>
      </w:pPr>
      <w:bookmarkStart w:id="43" w:name="_Toc480449173"/>
      <w:bookmarkStart w:id="44" w:name="_Toc485388073"/>
      <w:bookmarkStart w:id="45" w:name="_Toc485388817"/>
      <w:bookmarkStart w:id="46" w:name="_Toc485388975"/>
      <w:bookmarkStart w:id="47" w:name="_Toc485649779"/>
      <w:bookmarkStart w:id="48" w:name="_Toc480449196"/>
      <w:bookmarkStart w:id="49" w:name="_Toc17464301"/>
      <w:bookmarkEnd w:id="43"/>
      <w:bookmarkEnd w:id="44"/>
      <w:bookmarkEnd w:id="45"/>
      <w:bookmarkEnd w:id="46"/>
      <w:bookmarkEnd w:id="47"/>
      <w:bookmarkEnd w:id="48"/>
      <w:r w:rsidRPr="00746871">
        <w:rPr>
          <w:rFonts w:hint="eastAsia"/>
        </w:rPr>
        <w:lastRenderedPageBreak/>
        <w:t>核查步骤</w:t>
      </w:r>
      <w:bookmarkEnd w:id="49"/>
    </w:p>
    <w:p w14:paraId="4B7CAA67" w14:textId="3A9CB67A" w:rsidR="007668F0" w:rsidRPr="00746871" w:rsidRDefault="007668F0" w:rsidP="00FF4938">
      <w:pPr>
        <w:pStyle w:val="a9"/>
        <w:rPr>
          <w:rFonts w:eastAsia="宋体" w:hAnsi="宋体"/>
        </w:rPr>
      </w:pPr>
      <w:r w:rsidRPr="00746871">
        <w:rPr>
          <w:rFonts w:eastAsia="宋体" w:hAnsi="宋体" w:hint="eastAsia"/>
        </w:rPr>
        <w:t>核查应按照规定的程序进行核查，步骤包括核查准备、核查策划、核查实施、报告编制与批准。</w:t>
      </w:r>
    </w:p>
    <w:p w14:paraId="08A21779" w14:textId="77777777" w:rsidR="007668F0" w:rsidRPr="00746871" w:rsidRDefault="007668F0" w:rsidP="007668F0">
      <w:pPr>
        <w:pStyle w:val="a1"/>
        <w:numPr>
          <w:ilvl w:val="0"/>
          <w:numId w:val="1"/>
        </w:numPr>
      </w:pPr>
      <w:bookmarkStart w:id="50" w:name="_Toc17464302"/>
      <w:bookmarkStart w:id="51" w:name="_Toc480449203"/>
      <w:r w:rsidRPr="00746871">
        <w:rPr>
          <w:rFonts w:hint="eastAsia"/>
        </w:rPr>
        <w:t>核查准备</w:t>
      </w:r>
      <w:bookmarkEnd w:id="50"/>
    </w:p>
    <w:p w14:paraId="4D6B3F91" w14:textId="77777777" w:rsidR="007668F0" w:rsidRPr="00746871" w:rsidRDefault="007668F0" w:rsidP="000524A2">
      <w:pPr>
        <w:pStyle w:val="a1"/>
        <w:numPr>
          <w:ilvl w:val="1"/>
          <w:numId w:val="2"/>
        </w:numPr>
        <w:spacing w:beforeLines="50" w:before="156" w:afterLines="50" w:after="156"/>
        <w:ind w:left="420" w:hanging="420"/>
        <w:outlineLvl w:val="2"/>
      </w:pPr>
      <w:bookmarkStart w:id="52" w:name="_Toc17464303"/>
      <w:bookmarkEnd w:id="51"/>
      <w:r w:rsidRPr="00746871">
        <w:rPr>
          <w:rFonts w:hint="eastAsia"/>
        </w:rPr>
        <w:t>核查申请</w:t>
      </w:r>
      <w:bookmarkEnd w:id="52"/>
    </w:p>
    <w:p w14:paraId="267289E0" w14:textId="33B99438" w:rsidR="007668F0" w:rsidRPr="00746871" w:rsidRDefault="007668F0" w:rsidP="007668F0">
      <w:pPr>
        <w:ind w:firstLine="420"/>
      </w:pPr>
      <w:r w:rsidRPr="00746871">
        <w:rPr>
          <w:rFonts w:hint="eastAsia"/>
        </w:rPr>
        <w:t>核查申请由核查委托方提出。核查委托方包括主管部门、行业组织、投融资机构、预拌混凝土企业及其他利益相关方。核查受理方</w:t>
      </w:r>
      <w:r w:rsidR="005B1FA5" w:rsidRPr="00746871">
        <w:rPr>
          <w:rFonts w:hint="eastAsia"/>
        </w:rPr>
        <w:t>应</w:t>
      </w:r>
      <w:r w:rsidRPr="00746871">
        <w:rPr>
          <w:rFonts w:hint="eastAsia"/>
        </w:rPr>
        <w:t>是具备预拌混凝土行业温室气体核查资质</w:t>
      </w:r>
      <w:r w:rsidR="005B1FA5" w:rsidRPr="00746871">
        <w:rPr>
          <w:rFonts w:hint="eastAsia"/>
        </w:rPr>
        <w:t>或</w:t>
      </w:r>
      <w:r w:rsidR="005B1FA5" w:rsidRPr="00746871">
        <w:t>技术</w:t>
      </w:r>
      <w:r w:rsidRPr="00746871">
        <w:rPr>
          <w:rFonts w:hint="eastAsia"/>
        </w:rPr>
        <w:t>能力的核查机构。</w:t>
      </w:r>
    </w:p>
    <w:p w14:paraId="132014F1" w14:textId="77777777" w:rsidR="007668F0" w:rsidRPr="00746871" w:rsidRDefault="007668F0" w:rsidP="000524A2">
      <w:pPr>
        <w:pStyle w:val="a2"/>
        <w:numPr>
          <w:ilvl w:val="1"/>
          <w:numId w:val="2"/>
        </w:numPr>
        <w:ind w:left="420" w:hanging="420"/>
      </w:pPr>
      <w:bookmarkStart w:id="53" w:name="_Toc17464304"/>
      <w:r w:rsidRPr="00746871">
        <w:rPr>
          <w:rFonts w:hint="eastAsia"/>
        </w:rPr>
        <w:t>受理评审</w:t>
      </w:r>
      <w:bookmarkEnd w:id="53"/>
    </w:p>
    <w:p w14:paraId="50D02EBA" w14:textId="058A5235" w:rsidR="007668F0" w:rsidRPr="00746871" w:rsidRDefault="007668F0" w:rsidP="007F236C">
      <w:pPr>
        <w:ind w:firstLine="420"/>
      </w:pPr>
      <w:r w:rsidRPr="00746871">
        <w:rPr>
          <w:rFonts w:hint="eastAsia"/>
        </w:rPr>
        <w:t>核查机构应确保有足够能胜任预拌混凝土企业合同评审、核查、技术评审等</w:t>
      </w:r>
      <w:r w:rsidR="005B1FA5" w:rsidRPr="00746871">
        <w:rPr>
          <w:rFonts w:hint="eastAsia"/>
        </w:rPr>
        <w:t>方面</w:t>
      </w:r>
      <w:r w:rsidR="005B1FA5" w:rsidRPr="00746871">
        <w:t>的技术人员</w:t>
      </w:r>
      <w:r w:rsidRPr="00746871">
        <w:rPr>
          <w:rFonts w:hint="eastAsia"/>
        </w:rPr>
        <w:t>，并指定具备预备混凝土企业温室气体核查能力的人员负责受理评审。</w:t>
      </w:r>
    </w:p>
    <w:p w14:paraId="5D9D72DB" w14:textId="268079AC" w:rsidR="007668F0" w:rsidRPr="00746871" w:rsidRDefault="007668F0" w:rsidP="007668F0">
      <w:pPr>
        <w:ind w:firstLine="420"/>
      </w:pPr>
      <w:r w:rsidRPr="00746871">
        <w:rPr>
          <w:rFonts w:hint="eastAsia"/>
        </w:rPr>
        <w:t>预拌混凝土企业所提供的数据资料信息满足核查要求，</w:t>
      </w:r>
      <w:r w:rsidR="005B1FA5" w:rsidRPr="00746871">
        <w:rPr>
          <w:rFonts w:hint="eastAsia"/>
        </w:rPr>
        <w:t>则</w:t>
      </w:r>
      <w:r w:rsidRPr="00746871">
        <w:rPr>
          <w:rFonts w:hint="eastAsia"/>
        </w:rPr>
        <w:t>受理评审通过；若不满足，受理评审不通过。</w:t>
      </w:r>
    </w:p>
    <w:p w14:paraId="7C4C1ADD" w14:textId="77777777" w:rsidR="007668F0" w:rsidRPr="00746871" w:rsidRDefault="007668F0" w:rsidP="000524A2">
      <w:pPr>
        <w:numPr>
          <w:ilvl w:val="1"/>
          <w:numId w:val="2"/>
        </w:numPr>
        <w:spacing w:beforeLines="50" w:before="156" w:afterLines="50" w:after="156"/>
        <w:ind w:left="0" w:firstLineChars="0" w:firstLine="0"/>
        <w:outlineLvl w:val="2"/>
        <w:rPr>
          <w:rFonts w:ascii="黑体" w:eastAsia="黑体"/>
          <w:kern w:val="0"/>
          <w:szCs w:val="20"/>
        </w:rPr>
      </w:pPr>
      <w:bookmarkStart w:id="54" w:name="_Toc17464305"/>
      <w:r w:rsidRPr="00746871">
        <w:rPr>
          <w:rFonts w:ascii="黑体" w:eastAsia="黑体" w:hint="eastAsia"/>
          <w:kern w:val="0"/>
          <w:szCs w:val="20"/>
        </w:rPr>
        <w:t>签署协议</w:t>
      </w:r>
      <w:bookmarkEnd w:id="54"/>
    </w:p>
    <w:p w14:paraId="0EAF924A" w14:textId="77777777" w:rsidR="007668F0" w:rsidRPr="00746871" w:rsidRDefault="007668F0" w:rsidP="007F236C">
      <w:pPr>
        <w:ind w:firstLine="420"/>
      </w:pPr>
      <w:r w:rsidRPr="00746871">
        <w:rPr>
          <w:rFonts w:hint="eastAsia"/>
        </w:rPr>
        <w:t>经评审接受核查委托后，核查机构应与委托方签署核查委托协议。</w:t>
      </w:r>
    </w:p>
    <w:p w14:paraId="008BDA0F" w14:textId="77777777" w:rsidR="007668F0" w:rsidRPr="00746871" w:rsidRDefault="007668F0" w:rsidP="000524A2">
      <w:pPr>
        <w:numPr>
          <w:ilvl w:val="1"/>
          <w:numId w:val="2"/>
        </w:numPr>
        <w:spacing w:beforeLines="50" w:before="156" w:afterLines="50" w:after="156"/>
        <w:ind w:left="0" w:firstLineChars="2" w:firstLine="4"/>
        <w:outlineLvl w:val="2"/>
        <w:rPr>
          <w:rFonts w:ascii="黑体" w:eastAsia="黑体"/>
          <w:kern w:val="0"/>
          <w:szCs w:val="20"/>
        </w:rPr>
      </w:pPr>
      <w:bookmarkStart w:id="55" w:name="_Toc17464306"/>
      <w:r w:rsidRPr="00746871">
        <w:rPr>
          <w:rFonts w:ascii="黑体" w:eastAsia="黑体" w:hint="eastAsia"/>
          <w:kern w:val="0"/>
          <w:szCs w:val="20"/>
        </w:rPr>
        <w:t>组建核查组</w:t>
      </w:r>
      <w:bookmarkEnd w:id="55"/>
    </w:p>
    <w:p w14:paraId="10391545" w14:textId="29C87ABA" w:rsidR="00CF3D96" w:rsidRPr="00746871" w:rsidRDefault="007668F0" w:rsidP="007F236C">
      <w:pPr>
        <w:ind w:firstLine="420"/>
      </w:pPr>
      <w:r w:rsidRPr="00746871">
        <w:rPr>
          <w:rFonts w:hint="eastAsia"/>
        </w:rPr>
        <w:t>核查机构应</w:t>
      </w:r>
      <w:r w:rsidR="00CF3D96" w:rsidRPr="00746871">
        <w:rPr>
          <w:rFonts w:hint="eastAsia"/>
        </w:rPr>
        <w:t>指定具备能力的</w:t>
      </w:r>
      <w:r w:rsidRPr="00746871">
        <w:rPr>
          <w:rFonts w:hint="eastAsia"/>
        </w:rPr>
        <w:t>核查组长</w:t>
      </w:r>
      <w:r w:rsidR="00A228A9" w:rsidRPr="00746871">
        <w:rPr>
          <w:rFonts w:hint="eastAsia"/>
        </w:rPr>
        <w:t>。</w:t>
      </w:r>
      <w:r w:rsidR="00CF3D96" w:rsidRPr="00746871">
        <w:rPr>
          <w:rFonts w:hint="eastAsia"/>
        </w:rPr>
        <w:t>接受核查委托后，核查组长负责开展核查策划、组建核查组</w:t>
      </w:r>
      <w:r w:rsidR="00AE094A" w:rsidRPr="00746871">
        <w:rPr>
          <w:rFonts w:hint="eastAsia"/>
        </w:rPr>
        <w:t>，</w:t>
      </w:r>
      <w:r w:rsidR="00CF3D96" w:rsidRPr="00746871">
        <w:rPr>
          <w:rFonts w:hint="eastAsia"/>
        </w:rPr>
        <w:t>并确定各成员的任务分工。核查组成员应具备相应的能力并与被核查方不存在任何利益冲突。核查组长负责准备开展核查活动所需的技术及设备。</w:t>
      </w:r>
    </w:p>
    <w:p w14:paraId="78F1A4CC" w14:textId="77777777" w:rsidR="007668F0" w:rsidRPr="00746871" w:rsidRDefault="007668F0" w:rsidP="007668F0">
      <w:pPr>
        <w:pStyle w:val="a1"/>
        <w:numPr>
          <w:ilvl w:val="0"/>
          <w:numId w:val="1"/>
        </w:numPr>
      </w:pPr>
      <w:bookmarkStart w:id="56" w:name="_Toc17464307"/>
      <w:r w:rsidRPr="00746871">
        <w:rPr>
          <w:rFonts w:hint="eastAsia"/>
        </w:rPr>
        <w:t>核查策划</w:t>
      </w:r>
      <w:bookmarkEnd w:id="56"/>
    </w:p>
    <w:p w14:paraId="5EE0E937" w14:textId="77777777" w:rsidR="007668F0" w:rsidRPr="00746871" w:rsidRDefault="007668F0" w:rsidP="000524A2">
      <w:pPr>
        <w:pStyle w:val="a2"/>
        <w:numPr>
          <w:ilvl w:val="0"/>
          <w:numId w:val="3"/>
        </w:numPr>
      </w:pPr>
      <w:bookmarkStart w:id="57" w:name="_Toc17464309"/>
      <w:r w:rsidRPr="00746871">
        <w:rPr>
          <w:rFonts w:hint="eastAsia"/>
        </w:rPr>
        <w:t>核查目的</w:t>
      </w:r>
      <w:bookmarkEnd w:id="57"/>
    </w:p>
    <w:p w14:paraId="79AF9E59" w14:textId="092EC0D1" w:rsidR="007668F0" w:rsidRPr="00746871" w:rsidRDefault="007668F0" w:rsidP="005E7B73">
      <w:pPr>
        <w:ind w:firstLine="420"/>
        <w:rPr>
          <w:rFonts w:ascii="黑体" w:eastAsia="黑体"/>
        </w:rPr>
      </w:pPr>
      <w:r w:rsidRPr="00746871">
        <w:rPr>
          <w:rFonts w:hint="eastAsia"/>
        </w:rPr>
        <w:t>核查机构应与委托方共同确定核查目的，如碳排放权交易核查、</w:t>
      </w:r>
      <w:r w:rsidR="00A77CD5" w:rsidRPr="00746871">
        <w:rPr>
          <w:rFonts w:hint="eastAsia"/>
        </w:rPr>
        <w:t>企业自主开展的</w:t>
      </w:r>
      <w:r w:rsidRPr="00746871">
        <w:rPr>
          <w:rFonts w:hint="eastAsia"/>
        </w:rPr>
        <w:t>碳盘查、投融资核查等。</w:t>
      </w:r>
    </w:p>
    <w:p w14:paraId="615AB4BD" w14:textId="77777777" w:rsidR="007668F0" w:rsidRPr="00746871" w:rsidRDefault="007668F0" w:rsidP="000524A2">
      <w:pPr>
        <w:pStyle w:val="a2"/>
        <w:numPr>
          <w:ilvl w:val="0"/>
          <w:numId w:val="3"/>
        </w:numPr>
      </w:pPr>
      <w:bookmarkStart w:id="58" w:name="_Toc17464310"/>
      <w:r w:rsidRPr="00746871">
        <w:rPr>
          <w:rFonts w:hint="eastAsia"/>
        </w:rPr>
        <w:t>核查</w:t>
      </w:r>
      <w:r w:rsidR="00294B8C" w:rsidRPr="00746871">
        <w:rPr>
          <w:rFonts w:hint="eastAsia"/>
        </w:rPr>
        <w:t>范围</w:t>
      </w:r>
      <w:bookmarkEnd w:id="58"/>
    </w:p>
    <w:p w14:paraId="6FD4B2F7" w14:textId="77777777" w:rsidR="007668F0" w:rsidRPr="00746871" w:rsidRDefault="007668F0" w:rsidP="007668F0">
      <w:pPr>
        <w:ind w:firstLine="420"/>
        <w:rPr>
          <w:rFonts w:ascii="宋体" w:hAnsi="宋体" w:cs="宋体"/>
          <w:szCs w:val="21"/>
        </w:rPr>
      </w:pPr>
      <w:r w:rsidRPr="00746871">
        <w:rPr>
          <w:rFonts w:ascii="宋体" w:hAnsi="宋体" w:cs="宋体" w:hint="eastAsia"/>
          <w:szCs w:val="21"/>
        </w:rPr>
        <w:t>核查组应确定核查涵盖的地理、排放设施、排放温室气体和统计时间边界，核查范围应包括（不限于）下列内容：</w:t>
      </w:r>
    </w:p>
    <w:p w14:paraId="4DE294AE" w14:textId="05F121D3" w:rsidR="007668F0" w:rsidRPr="00746871" w:rsidRDefault="007668F0" w:rsidP="000524A2">
      <w:pPr>
        <w:pStyle w:val="afa"/>
        <w:numPr>
          <w:ilvl w:val="1"/>
          <w:numId w:val="23"/>
        </w:numPr>
        <w:ind w:left="840" w:firstLineChars="0"/>
        <w:rPr>
          <w:rFonts w:ascii="宋体" w:hAnsi="宋体" w:cs="宋体"/>
          <w:szCs w:val="21"/>
        </w:rPr>
      </w:pPr>
      <w:r w:rsidRPr="00746871">
        <w:rPr>
          <w:rFonts w:ascii="宋体" w:hAnsi="宋体" w:cs="宋体" w:hint="eastAsia"/>
          <w:szCs w:val="21"/>
        </w:rPr>
        <w:t>企业排放设施、物料及能源流向；</w:t>
      </w:r>
    </w:p>
    <w:p w14:paraId="086EC73C" w14:textId="77777777" w:rsidR="007668F0" w:rsidRPr="00746871" w:rsidRDefault="007668F0" w:rsidP="000524A2">
      <w:pPr>
        <w:pStyle w:val="afa"/>
        <w:numPr>
          <w:ilvl w:val="1"/>
          <w:numId w:val="23"/>
        </w:numPr>
        <w:ind w:left="840" w:firstLineChars="0"/>
        <w:rPr>
          <w:rFonts w:ascii="宋体" w:hAnsi="宋体" w:cs="宋体"/>
          <w:szCs w:val="21"/>
        </w:rPr>
      </w:pPr>
      <w:r w:rsidRPr="00746871">
        <w:rPr>
          <w:rFonts w:ascii="宋体" w:hAnsi="宋体" w:cs="宋体" w:hint="eastAsia"/>
          <w:szCs w:val="21"/>
        </w:rPr>
        <w:t>厂区主要生产系统、辅助生产系统、附属生产系统排放源；</w:t>
      </w:r>
    </w:p>
    <w:p w14:paraId="089198B9" w14:textId="77777777" w:rsidR="007668F0" w:rsidRPr="00746871" w:rsidRDefault="007668F0" w:rsidP="000524A2">
      <w:pPr>
        <w:pStyle w:val="afa"/>
        <w:numPr>
          <w:ilvl w:val="1"/>
          <w:numId w:val="23"/>
        </w:numPr>
        <w:ind w:left="840" w:firstLineChars="0"/>
        <w:rPr>
          <w:rFonts w:ascii="宋体" w:hAnsi="宋体" w:cs="宋体"/>
          <w:szCs w:val="21"/>
        </w:rPr>
      </w:pPr>
      <w:r w:rsidRPr="00746871">
        <w:rPr>
          <w:rFonts w:ascii="宋体" w:hAnsi="宋体" w:cs="宋体" w:hint="eastAsia"/>
          <w:szCs w:val="21"/>
        </w:rPr>
        <w:t>温室气体类型；</w:t>
      </w:r>
    </w:p>
    <w:p w14:paraId="549C94DF" w14:textId="77777777" w:rsidR="007668F0" w:rsidRPr="00746871" w:rsidRDefault="007668F0" w:rsidP="000524A2">
      <w:pPr>
        <w:pStyle w:val="afa"/>
        <w:numPr>
          <w:ilvl w:val="1"/>
          <w:numId w:val="23"/>
        </w:numPr>
        <w:ind w:left="840" w:firstLineChars="0"/>
        <w:rPr>
          <w:rFonts w:ascii="宋体" w:hAnsi="宋体" w:cs="宋体"/>
          <w:szCs w:val="21"/>
        </w:rPr>
      </w:pPr>
      <w:r w:rsidRPr="00746871">
        <w:rPr>
          <w:rFonts w:ascii="宋体" w:hAnsi="宋体" w:cs="宋体" w:hint="eastAsia"/>
          <w:szCs w:val="21"/>
        </w:rPr>
        <w:t>时间段。</w:t>
      </w:r>
    </w:p>
    <w:p w14:paraId="16081A89" w14:textId="77777777" w:rsidR="007668F0" w:rsidRPr="00746871" w:rsidRDefault="007668F0" w:rsidP="000524A2">
      <w:pPr>
        <w:pStyle w:val="a2"/>
        <w:numPr>
          <w:ilvl w:val="0"/>
          <w:numId w:val="3"/>
        </w:numPr>
      </w:pPr>
      <w:bookmarkStart w:id="59" w:name="_Toc17464311"/>
      <w:r w:rsidRPr="00746871">
        <w:rPr>
          <w:rFonts w:hint="eastAsia"/>
        </w:rPr>
        <w:t>核查模式</w:t>
      </w:r>
      <w:bookmarkEnd w:id="59"/>
    </w:p>
    <w:p w14:paraId="4FEEC658" w14:textId="244C72F9" w:rsidR="007668F0" w:rsidRPr="00746871" w:rsidRDefault="00857C5A" w:rsidP="007668F0">
      <w:pPr>
        <w:ind w:firstLine="420"/>
      </w:pPr>
      <w:r w:rsidRPr="00746871">
        <w:rPr>
          <w:rFonts w:hint="eastAsia"/>
        </w:rPr>
        <w:t>核查模式采用文件评审与现场核查结合的方式</w:t>
      </w:r>
      <w:r w:rsidR="00951B0D" w:rsidRPr="00746871">
        <w:rPr>
          <w:rFonts w:hint="eastAsia"/>
        </w:rPr>
        <w:t>。</w:t>
      </w:r>
      <w:r w:rsidR="00504921" w:rsidRPr="00746871">
        <w:rPr>
          <w:rFonts w:hint="eastAsia"/>
        </w:rPr>
        <w:t>文件评审主要是了解预拌混凝土生产企业的基本情况、评估企业的核查重点，参加附录</w:t>
      </w:r>
      <w:r w:rsidR="00223629" w:rsidRPr="00746871">
        <w:t>A</w:t>
      </w:r>
      <w:r w:rsidR="00504921" w:rsidRPr="00746871">
        <w:rPr>
          <w:rFonts w:hint="eastAsia"/>
        </w:rPr>
        <w:t>。</w:t>
      </w:r>
    </w:p>
    <w:p w14:paraId="163C103D" w14:textId="77777777" w:rsidR="00835102" w:rsidRPr="00746871" w:rsidRDefault="00835102" w:rsidP="000524A2">
      <w:pPr>
        <w:pStyle w:val="a2"/>
        <w:numPr>
          <w:ilvl w:val="0"/>
          <w:numId w:val="3"/>
        </w:numPr>
      </w:pPr>
      <w:bookmarkStart w:id="60" w:name="_Toc17464312"/>
      <w:r w:rsidRPr="00746871">
        <w:rPr>
          <w:rFonts w:hint="eastAsia"/>
        </w:rPr>
        <w:lastRenderedPageBreak/>
        <w:t>抽样计划</w:t>
      </w:r>
      <w:bookmarkEnd w:id="60"/>
    </w:p>
    <w:p w14:paraId="1947A7B7" w14:textId="3C22C19E" w:rsidR="00C16028" w:rsidRPr="00746871" w:rsidRDefault="00C16028" w:rsidP="0083532A">
      <w:pPr>
        <w:pStyle w:val="4"/>
        <w:spacing w:before="156" w:after="156"/>
        <w:rPr>
          <w:b/>
        </w:rPr>
      </w:pPr>
      <w:r w:rsidRPr="00746871">
        <w:rPr>
          <w:rFonts w:hint="eastAsia"/>
        </w:rPr>
        <w:t>6</w:t>
      </w:r>
      <w:r w:rsidRPr="00746871">
        <w:t>.</w:t>
      </w:r>
      <w:r w:rsidR="00755FA1">
        <w:t>4</w:t>
      </w:r>
      <w:r w:rsidRPr="00746871">
        <w:t>.1</w:t>
      </w:r>
      <w:r w:rsidRPr="00746871">
        <w:rPr>
          <w:rFonts w:hint="eastAsia"/>
        </w:rPr>
        <w:t>概述</w:t>
      </w:r>
    </w:p>
    <w:p w14:paraId="6CF9C9C1" w14:textId="02396830" w:rsidR="00C16028" w:rsidRPr="00746871" w:rsidRDefault="00C16028" w:rsidP="00C16028">
      <w:pPr>
        <w:ind w:firstLine="420"/>
      </w:pPr>
      <w:r w:rsidRPr="00746871">
        <w:rPr>
          <w:rFonts w:hint="eastAsia"/>
        </w:rPr>
        <w:t>核查组应考虑现场的代表性、核查工作量等因素，参照</w:t>
      </w:r>
      <w:r w:rsidRPr="00746871">
        <w:rPr>
          <w:rFonts w:hint="eastAsia"/>
        </w:rPr>
        <w:t>GB/T 2828.1</w:t>
      </w:r>
      <w:r w:rsidRPr="00746871">
        <w:rPr>
          <w:rFonts w:hint="eastAsia"/>
        </w:rPr>
        <w:t>的要求制定抽样计划。</w:t>
      </w:r>
      <w:r w:rsidR="00592B26" w:rsidRPr="00746871">
        <w:rPr>
          <w:rFonts w:hint="eastAsia"/>
        </w:rPr>
        <w:t>抽样</w:t>
      </w:r>
      <w:r w:rsidR="00592B26" w:rsidRPr="00746871">
        <w:t>方式包括全样本和部分样本抽样，</w:t>
      </w:r>
      <w:r w:rsidRPr="00746871">
        <w:rPr>
          <w:rFonts w:hint="eastAsia"/>
        </w:rPr>
        <w:t>抽样计划涉及场所</w:t>
      </w:r>
      <w:r w:rsidR="00592B26" w:rsidRPr="00746871">
        <w:rPr>
          <w:rFonts w:hint="eastAsia"/>
        </w:rPr>
        <w:t>或</w:t>
      </w:r>
      <w:r w:rsidR="00592B26" w:rsidRPr="00746871">
        <w:t>设施</w:t>
      </w:r>
      <w:r w:rsidRPr="00746871">
        <w:rPr>
          <w:rFonts w:hint="eastAsia"/>
        </w:rPr>
        <w:t>抽样和活动水平数据抽样两部分工作范畴。</w:t>
      </w:r>
    </w:p>
    <w:p w14:paraId="45BDECBF" w14:textId="5912CD80" w:rsidR="00C16028" w:rsidRPr="00746871" w:rsidRDefault="00C16028" w:rsidP="00176E04">
      <w:pPr>
        <w:pStyle w:val="4"/>
        <w:spacing w:before="156" w:after="156"/>
      </w:pPr>
      <w:r w:rsidRPr="00746871">
        <w:rPr>
          <w:rFonts w:hint="eastAsia"/>
        </w:rPr>
        <w:t>6.</w:t>
      </w:r>
      <w:r w:rsidR="00755FA1">
        <w:t>4</w:t>
      </w:r>
      <w:r w:rsidRPr="00746871">
        <w:rPr>
          <w:rFonts w:hint="eastAsia"/>
        </w:rPr>
        <w:t xml:space="preserve">.2 </w:t>
      </w:r>
      <w:r w:rsidRPr="00746871">
        <w:rPr>
          <w:rFonts w:hint="eastAsia"/>
        </w:rPr>
        <w:t>全样本</w:t>
      </w:r>
    </w:p>
    <w:p w14:paraId="73B8AE0D" w14:textId="23CDF63B" w:rsidR="00C23C4D" w:rsidRPr="00746871" w:rsidRDefault="00C23C4D" w:rsidP="00C16028">
      <w:pPr>
        <w:ind w:firstLine="420"/>
        <w:rPr>
          <w:rFonts w:ascii="宋体" w:hAnsi="宋体"/>
        </w:rPr>
      </w:pPr>
      <w:r w:rsidRPr="00746871">
        <w:rPr>
          <w:rFonts w:ascii="宋体" w:hAnsi="宋体" w:hint="eastAsia"/>
        </w:rPr>
        <w:t>采取全样本抽样时，预拌混凝土企业应满足如下条件：</w:t>
      </w:r>
    </w:p>
    <w:p w14:paraId="22302A23" w14:textId="268FBFAA" w:rsidR="00C16028" w:rsidRPr="00746871" w:rsidRDefault="00C16028" w:rsidP="001A0761">
      <w:pPr>
        <w:pStyle w:val="afa"/>
        <w:numPr>
          <w:ilvl w:val="1"/>
          <w:numId w:val="3"/>
        </w:numPr>
        <w:ind w:firstLineChars="0"/>
        <w:rPr>
          <w:rFonts w:ascii="宋体" w:hAnsi="宋体" w:cstheme="minorBidi"/>
          <w:szCs w:val="22"/>
        </w:rPr>
      </w:pPr>
      <w:r w:rsidRPr="00746871">
        <w:rPr>
          <w:rFonts w:ascii="宋体" w:hAnsi="宋体" w:cstheme="minorBidi" w:hint="eastAsia"/>
          <w:szCs w:val="22"/>
        </w:rPr>
        <w:t>预拌混凝土企业的运营场所不超过3个（含3个）的情况，应对所有场所进行现场核查。</w:t>
      </w:r>
    </w:p>
    <w:p w14:paraId="2CCD56E2" w14:textId="1A81E8CE" w:rsidR="00C16028" w:rsidRPr="00746871" w:rsidRDefault="00C16028" w:rsidP="001A0761">
      <w:pPr>
        <w:pStyle w:val="afa"/>
        <w:numPr>
          <w:ilvl w:val="1"/>
          <w:numId w:val="3"/>
        </w:numPr>
        <w:ind w:firstLineChars="0"/>
        <w:rPr>
          <w:rFonts w:ascii="宋体" w:hAnsi="宋体" w:cstheme="minorBidi"/>
          <w:szCs w:val="22"/>
        </w:rPr>
      </w:pPr>
      <w:r w:rsidRPr="00746871">
        <w:rPr>
          <w:rFonts w:ascii="宋体" w:hAnsi="宋体" w:cstheme="minorBidi" w:hint="eastAsia"/>
          <w:szCs w:val="22"/>
        </w:rPr>
        <w:t>当</w:t>
      </w:r>
      <w:r w:rsidR="00C400E0" w:rsidRPr="00746871">
        <w:rPr>
          <w:rFonts w:ascii="宋体" w:hAnsi="宋体" w:cstheme="minorBidi" w:hint="eastAsia"/>
          <w:szCs w:val="22"/>
        </w:rPr>
        <w:t>预拌混凝土企业其中某一类型活动水平数据的监测点或账簿、票据数量核定的人日数内能够核证完成时，应对该类型活动水平数据相关票据、计量设施进行全样本查看。</w:t>
      </w:r>
    </w:p>
    <w:p w14:paraId="5C8AF198" w14:textId="7C534967" w:rsidR="00C16028" w:rsidRPr="00746871" w:rsidRDefault="00C16028" w:rsidP="00176E04">
      <w:pPr>
        <w:pStyle w:val="4"/>
        <w:spacing w:before="156" w:after="156"/>
      </w:pPr>
      <w:r w:rsidRPr="00746871">
        <w:rPr>
          <w:rFonts w:hint="eastAsia"/>
        </w:rPr>
        <w:t>6.</w:t>
      </w:r>
      <w:r w:rsidR="00755FA1">
        <w:t>4</w:t>
      </w:r>
      <w:r w:rsidRPr="00746871">
        <w:rPr>
          <w:rFonts w:hint="eastAsia"/>
        </w:rPr>
        <w:t>.3</w:t>
      </w:r>
      <w:r w:rsidRPr="00746871">
        <w:rPr>
          <w:rFonts w:hint="eastAsia"/>
        </w:rPr>
        <w:t>部分样本</w:t>
      </w:r>
    </w:p>
    <w:p w14:paraId="7265BFB4" w14:textId="77777777" w:rsidR="00462D6C" w:rsidRPr="00746871" w:rsidRDefault="00462D6C" w:rsidP="00462D6C">
      <w:pPr>
        <w:ind w:firstLine="420"/>
      </w:pPr>
      <w:r>
        <w:rPr>
          <w:rFonts w:hint="eastAsia"/>
        </w:rPr>
        <w:t>无法实现全样本抽样时，</w:t>
      </w:r>
      <w:r w:rsidRPr="00746871">
        <w:rPr>
          <w:rFonts w:hint="eastAsia"/>
        </w:rPr>
        <w:t>采取部分抽样，</w:t>
      </w:r>
      <w:r>
        <w:rPr>
          <w:rFonts w:hint="eastAsia"/>
        </w:rPr>
        <w:t>部分抽样</w:t>
      </w:r>
      <w:r w:rsidRPr="00746871">
        <w:rPr>
          <w:rFonts w:hint="eastAsia"/>
        </w:rPr>
        <w:t>应满足如下条件：</w:t>
      </w:r>
    </w:p>
    <w:p w14:paraId="596337B9" w14:textId="27F609C3" w:rsidR="00C16028" w:rsidRPr="00746871" w:rsidRDefault="00C16028" w:rsidP="007D7667">
      <w:pPr>
        <w:pStyle w:val="afa"/>
        <w:numPr>
          <w:ilvl w:val="1"/>
          <w:numId w:val="38"/>
        </w:numPr>
        <w:ind w:firstLineChars="0"/>
        <w:rPr>
          <w:rFonts w:ascii="宋体" w:hAnsi="宋体" w:cstheme="minorBidi"/>
          <w:szCs w:val="22"/>
        </w:rPr>
      </w:pPr>
      <w:r w:rsidRPr="00746871">
        <w:rPr>
          <w:rFonts w:ascii="宋体" w:hAnsi="宋体" w:cstheme="minorBidi" w:hint="eastAsia"/>
          <w:szCs w:val="22"/>
        </w:rPr>
        <w:t>同类型多场所或设施抽样</w:t>
      </w:r>
    </w:p>
    <w:p w14:paraId="7761258B" w14:textId="03ED834B" w:rsidR="00C16028" w:rsidRPr="00746871" w:rsidRDefault="00CC19CD" w:rsidP="007D7667">
      <w:pPr>
        <w:pStyle w:val="afa"/>
        <w:numPr>
          <w:ilvl w:val="0"/>
          <w:numId w:val="39"/>
        </w:numPr>
        <w:ind w:firstLineChars="0"/>
        <w:rPr>
          <w:rFonts w:ascii="宋体" w:hAnsi="宋体" w:cstheme="minorBidi"/>
          <w:szCs w:val="22"/>
        </w:rPr>
      </w:pPr>
      <w:r w:rsidRPr="00746871">
        <w:rPr>
          <w:rFonts w:ascii="宋体" w:hAnsi="宋体" w:cstheme="minorBidi" w:hint="eastAsia"/>
          <w:szCs w:val="22"/>
        </w:rPr>
        <w:t>当预拌混凝土生产企业的温室气体排放场所需要部分</w:t>
      </w:r>
      <w:r w:rsidR="001C2441" w:rsidRPr="00746871">
        <w:rPr>
          <w:rFonts w:ascii="宋体" w:hAnsi="宋体" w:cstheme="minorBidi" w:hint="eastAsia"/>
          <w:szCs w:val="22"/>
        </w:rPr>
        <w:t>抽样时，抽样的规模应是所有相似现场总数的平方根，数值取整时进</w:t>
      </w:r>
      <w:r w:rsidR="001C2441" w:rsidRPr="00746871">
        <w:rPr>
          <w:rFonts w:ascii="宋体" w:hAnsi="宋体" w:cstheme="minorBidi"/>
          <w:szCs w:val="22"/>
        </w:rPr>
        <w:t>1</w:t>
      </w:r>
      <w:r w:rsidR="0017601F" w:rsidRPr="00746871">
        <w:rPr>
          <w:rFonts w:ascii="宋体" w:hAnsi="宋体" w:cstheme="minorBidi" w:hint="eastAsia"/>
          <w:szCs w:val="22"/>
        </w:rPr>
        <w:t>。</w:t>
      </w:r>
    </w:p>
    <w:p w14:paraId="4753DB87" w14:textId="49D2925D" w:rsidR="001C2441" w:rsidRPr="00746871" w:rsidRDefault="001C2441" w:rsidP="007D7667">
      <w:pPr>
        <w:pStyle w:val="afa"/>
        <w:numPr>
          <w:ilvl w:val="0"/>
          <w:numId w:val="39"/>
        </w:numPr>
        <w:ind w:firstLineChars="0"/>
        <w:rPr>
          <w:rFonts w:ascii="宋体" w:hAnsi="宋体" w:cstheme="minorBidi"/>
          <w:szCs w:val="22"/>
        </w:rPr>
      </w:pPr>
      <w:r w:rsidRPr="00746871">
        <w:rPr>
          <w:rFonts w:ascii="宋体" w:hAnsi="宋体" w:cstheme="minorBidi" w:hint="eastAsia"/>
          <w:szCs w:val="22"/>
        </w:rPr>
        <w:t>当温室气体排放单元存在超过</w:t>
      </w:r>
      <w:r w:rsidRPr="00746871">
        <w:rPr>
          <w:rFonts w:ascii="宋体" w:hAnsi="宋体" w:cstheme="minorBidi"/>
          <w:szCs w:val="22"/>
        </w:rPr>
        <w:t>4</w:t>
      </w:r>
      <w:r w:rsidRPr="00746871">
        <w:rPr>
          <w:rFonts w:ascii="宋体" w:hAnsi="宋体" w:cstheme="minorBidi" w:hint="eastAsia"/>
          <w:szCs w:val="22"/>
        </w:rPr>
        <w:t>个相似现场时，当年抽取的样本与上一年度抽取的样本重复率不能超过</w:t>
      </w:r>
      <w:r w:rsidR="0017601F" w:rsidRPr="00746871">
        <w:rPr>
          <w:rFonts w:ascii="宋体" w:hAnsi="宋体" w:cstheme="minorBidi" w:hint="eastAsia"/>
          <w:szCs w:val="22"/>
        </w:rPr>
        <w:t>总抽样量的</w:t>
      </w:r>
      <w:r w:rsidR="0017601F" w:rsidRPr="00746871">
        <w:rPr>
          <w:rFonts w:ascii="宋体" w:hAnsi="宋体" w:cstheme="minorBidi"/>
          <w:szCs w:val="22"/>
        </w:rPr>
        <w:t>50%</w:t>
      </w:r>
      <w:r w:rsidR="0017601F" w:rsidRPr="00746871">
        <w:rPr>
          <w:rFonts w:ascii="宋体" w:hAnsi="宋体" w:cstheme="minorBidi" w:hint="eastAsia"/>
          <w:szCs w:val="22"/>
        </w:rPr>
        <w:t>。</w:t>
      </w:r>
    </w:p>
    <w:p w14:paraId="2E45DA82" w14:textId="1D35E966" w:rsidR="0017601F" w:rsidRPr="00746871" w:rsidRDefault="0017601F" w:rsidP="007D7667">
      <w:pPr>
        <w:pStyle w:val="afa"/>
        <w:numPr>
          <w:ilvl w:val="0"/>
          <w:numId w:val="39"/>
        </w:numPr>
        <w:ind w:firstLineChars="0"/>
        <w:rPr>
          <w:rFonts w:ascii="宋体" w:hAnsi="宋体" w:cstheme="minorBidi"/>
          <w:szCs w:val="22"/>
        </w:rPr>
      </w:pPr>
      <w:r w:rsidRPr="00746871">
        <w:rPr>
          <w:rFonts w:ascii="宋体" w:hAnsi="宋体" w:cstheme="minorBidi" w:hint="eastAsia"/>
          <w:szCs w:val="22"/>
        </w:rPr>
        <w:t>抽样原则确定以后，还要综合考虑特殊属性的场所作为样本，如排放量占比大、排放设施较多、存在新增排放设备或既有设施退出、活动水平数据来源与历史排放年份不一致等情况。</w:t>
      </w:r>
    </w:p>
    <w:p w14:paraId="64EA440C" w14:textId="24E1588B" w:rsidR="00C16028" w:rsidRPr="00746871" w:rsidRDefault="00C16028" w:rsidP="007D7667">
      <w:pPr>
        <w:pStyle w:val="afa"/>
        <w:numPr>
          <w:ilvl w:val="1"/>
          <w:numId w:val="38"/>
        </w:numPr>
        <w:ind w:firstLineChars="0"/>
        <w:rPr>
          <w:rFonts w:ascii="宋体" w:hAnsi="宋体" w:cstheme="minorBidi"/>
          <w:szCs w:val="22"/>
        </w:rPr>
      </w:pPr>
      <w:r w:rsidRPr="00746871">
        <w:rPr>
          <w:rFonts w:ascii="宋体" w:hAnsi="宋体" w:cstheme="minorBidi" w:hint="eastAsia"/>
          <w:szCs w:val="22"/>
        </w:rPr>
        <w:t>同类型活动水平数据抽样</w:t>
      </w:r>
    </w:p>
    <w:p w14:paraId="49AFDB08" w14:textId="77777777" w:rsidR="00E322D5" w:rsidRPr="00746871" w:rsidRDefault="00E322D5" w:rsidP="007D7667">
      <w:pPr>
        <w:pStyle w:val="afa"/>
        <w:numPr>
          <w:ilvl w:val="0"/>
          <w:numId w:val="40"/>
        </w:numPr>
        <w:ind w:firstLineChars="0"/>
        <w:rPr>
          <w:rFonts w:ascii="宋体" w:hAnsi="宋体" w:cstheme="minorBidi"/>
          <w:szCs w:val="22"/>
        </w:rPr>
      </w:pPr>
      <w:r w:rsidRPr="00746871">
        <w:rPr>
          <w:rFonts w:ascii="宋体" w:hAnsi="宋体" w:cstheme="minorBidi" w:hint="eastAsia"/>
          <w:szCs w:val="22"/>
        </w:rPr>
        <w:t>当预拌混凝土生产企业的活动水平数据或排放因子（账簿、单据、生产月报等）涉及的数据数量较多时，可以采取抽样的方式对数据进行核查，抽样数量的确定应充分考虑企业对数据流内部管理的完善程度、数据风险控制措施以及样本的代表性等因素，其中对月度数据、记录采用交叉核对的抽样比例不低于3</w:t>
      </w:r>
      <w:r w:rsidRPr="00746871">
        <w:rPr>
          <w:rFonts w:ascii="宋体" w:hAnsi="宋体" w:cstheme="minorBidi"/>
          <w:szCs w:val="22"/>
        </w:rPr>
        <w:t>0</w:t>
      </w:r>
      <w:r w:rsidRPr="00746871">
        <w:rPr>
          <w:rFonts w:ascii="宋体" w:hAnsi="宋体" w:cstheme="minorBidi" w:hint="eastAsia"/>
          <w:szCs w:val="22"/>
        </w:rPr>
        <w:t>%。</w:t>
      </w:r>
    </w:p>
    <w:p w14:paraId="5174F586" w14:textId="60217EA1" w:rsidR="00C16028" w:rsidRPr="00746871" w:rsidRDefault="00E322D5" w:rsidP="007D7667">
      <w:pPr>
        <w:pStyle w:val="afa"/>
        <w:numPr>
          <w:ilvl w:val="0"/>
          <w:numId w:val="40"/>
        </w:numPr>
        <w:ind w:firstLineChars="0"/>
        <w:rPr>
          <w:rFonts w:ascii="宋体" w:hAnsi="宋体" w:cstheme="minorBidi"/>
          <w:szCs w:val="22"/>
        </w:rPr>
      </w:pPr>
      <w:r w:rsidRPr="00746871">
        <w:rPr>
          <w:rFonts w:ascii="宋体" w:hAnsi="宋体" w:cstheme="minorBidi" w:hint="eastAsia"/>
          <w:szCs w:val="22"/>
        </w:rPr>
        <w:t>当抽取样本的核查结果无法满足总样本接收的要求时，需扩大样本量，在抽取的场所或数据样本中发现不符合，核查组应考虑不符合的原因、性质以及对最终核查结论的影响等因素扩大抽样量，直至满足总样本接收要求</w:t>
      </w:r>
      <w:r w:rsidR="00C16028" w:rsidRPr="00746871">
        <w:rPr>
          <w:rFonts w:ascii="宋体" w:hAnsi="宋体" w:cstheme="minorBidi" w:hint="eastAsia"/>
          <w:szCs w:val="22"/>
        </w:rPr>
        <w:t>。</w:t>
      </w:r>
    </w:p>
    <w:p w14:paraId="0EFC08EC" w14:textId="77777777" w:rsidR="007668F0" w:rsidRPr="00746871" w:rsidRDefault="007668F0" w:rsidP="00755FA1">
      <w:pPr>
        <w:pStyle w:val="a2"/>
        <w:numPr>
          <w:ilvl w:val="0"/>
          <w:numId w:val="42"/>
        </w:numPr>
      </w:pPr>
      <w:bookmarkStart w:id="61" w:name="_Toc17464313"/>
      <w:r w:rsidRPr="00746871">
        <w:rPr>
          <w:rFonts w:hint="eastAsia"/>
        </w:rPr>
        <w:t>核查计划</w:t>
      </w:r>
      <w:r w:rsidR="008F5791" w:rsidRPr="00746871">
        <w:rPr>
          <w:rFonts w:hint="eastAsia"/>
        </w:rPr>
        <w:t>的编制</w:t>
      </w:r>
      <w:bookmarkEnd w:id="61"/>
    </w:p>
    <w:p w14:paraId="75EF0725" w14:textId="77777777" w:rsidR="00451473" w:rsidRPr="00746871" w:rsidRDefault="00451473" w:rsidP="007668F0">
      <w:pPr>
        <w:pStyle w:val="afa"/>
        <w:rPr>
          <w:rFonts w:ascii="宋体" w:hAnsi="宋体" w:cstheme="minorBidi"/>
          <w:szCs w:val="22"/>
        </w:rPr>
      </w:pPr>
      <w:r w:rsidRPr="00746871">
        <w:rPr>
          <w:rFonts w:ascii="宋体" w:hAnsi="宋体" w:cstheme="minorBidi" w:hint="eastAsia"/>
          <w:szCs w:val="22"/>
        </w:rPr>
        <w:t>核查组长负责核查计划的编制，应包括以下内容：</w:t>
      </w:r>
    </w:p>
    <w:p w14:paraId="6DF2063B" w14:textId="77777777" w:rsidR="00451473" w:rsidRPr="00746871" w:rsidRDefault="00451473" w:rsidP="00755FA1">
      <w:pPr>
        <w:pStyle w:val="afa"/>
        <w:numPr>
          <w:ilvl w:val="1"/>
          <w:numId w:val="42"/>
        </w:numPr>
        <w:ind w:firstLineChars="0"/>
        <w:rPr>
          <w:rFonts w:ascii="宋体" w:hAnsi="宋体" w:cstheme="minorBidi"/>
          <w:szCs w:val="22"/>
        </w:rPr>
      </w:pPr>
      <w:r w:rsidRPr="00746871">
        <w:rPr>
          <w:rFonts w:ascii="宋体" w:hAnsi="宋体" w:cstheme="minorBidi" w:hint="eastAsia"/>
          <w:szCs w:val="22"/>
        </w:rPr>
        <w:t>核查目的、范围、准则等；</w:t>
      </w:r>
    </w:p>
    <w:p w14:paraId="78E605EF" w14:textId="77777777" w:rsidR="00451473" w:rsidRPr="00746871" w:rsidRDefault="00451473" w:rsidP="00755FA1">
      <w:pPr>
        <w:pStyle w:val="afa"/>
        <w:numPr>
          <w:ilvl w:val="1"/>
          <w:numId w:val="42"/>
        </w:numPr>
        <w:ind w:firstLineChars="0"/>
        <w:rPr>
          <w:rFonts w:ascii="宋体" w:hAnsi="宋体" w:cstheme="minorBidi"/>
          <w:szCs w:val="22"/>
        </w:rPr>
      </w:pPr>
      <w:r w:rsidRPr="00746871">
        <w:rPr>
          <w:rFonts w:ascii="宋体" w:hAnsi="宋体" w:cstheme="minorBidi" w:hint="eastAsia"/>
          <w:szCs w:val="22"/>
        </w:rPr>
        <w:t>核查小组的成员组成、任务及职责；</w:t>
      </w:r>
    </w:p>
    <w:p w14:paraId="2B7E8F72" w14:textId="77777777" w:rsidR="00451473" w:rsidRPr="00746871" w:rsidRDefault="0016750F" w:rsidP="00755FA1">
      <w:pPr>
        <w:pStyle w:val="afa"/>
        <w:numPr>
          <w:ilvl w:val="1"/>
          <w:numId w:val="42"/>
        </w:numPr>
        <w:ind w:firstLineChars="0"/>
        <w:rPr>
          <w:rFonts w:ascii="宋体" w:hAnsi="宋体" w:cstheme="minorBidi"/>
          <w:szCs w:val="22"/>
        </w:rPr>
      </w:pPr>
      <w:r w:rsidRPr="00746871">
        <w:rPr>
          <w:rFonts w:ascii="宋体" w:hAnsi="宋体" w:cstheme="minorBidi" w:hint="eastAsia"/>
          <w:szCs w:val="22"/>
        </w:rPr>
        <w:t>核查日程安排</w:t>
      </w:r>
    </w:p>
    <w:p w14:paraId="3151D85D" w14:textId="77777777" w:rsidR="0016750F" w:rsidRPr="00746871" w:rsidRDefault="0016750F" w:rsidP="00755FA1">
      <w:pPr>
        <w:pStyle w:val="afa"/>
        <w:numPr>
          <w:ilvl w:val="1"/>
          <w:numId w:val="42"/>
        </w:numPr>
        <w:ind w:firstLineChars="0"/>
        <w:rPr>
          <w:rFonts w:ascii="宋体" w:hAnsi="宋体" w:cstheme="minorBidi"/>
          <w:szCs w:val="22"/>
        </w:rPr>
      </w:pPr>
      <w:r w:rsidRPr="00746871">
        <w:rPr>
          <w:rFonts w:ascii="宋体" w:hAnsi="宋体" w:cstheme="minorBidi" w:hint="eastAsia"/>
          <w:szCs w:val="22"/>
        </w:rPr>
        <w:t>现场审阅的文件清单</w:t>
      </w:r>
    </w:p>
    <w:p w14:paraId="2BE63A5C" w14:textId="77777777" w:rsidR="0016750F" w:rsidRPr="00746871" w:rsidRDefault="0016750F" w:rsidP="00755FA1">
      <w:pPr>
        <w:pStyle w:val="afa"/>
        <w:numPr>
          <w:ilvl w:val="1"/>
          <w:numId w:val="42"/>
        </w:numPr>
        <w:ind w:firstLineChars="0"/>
        <w:rPr>
          <w:rFonts w:ascii="宋体" w:hAnsi="宋体" w:cstheme="minorBidi"/>
          <w:szCs w:val="22"/>
        </w:rPr>
      </w:pPr>
      <w:r w:rsidRPr="00746871">
        <w:rPr>
          <w:rFonts w:ascii="宋体" w:hAnsi="宋体" w:cstheme="minorBidi" w:hint="eastAsia"/>
          <w:szCs w:val="22"/>
        </w:rPr>
        <w:t>现场访问协调的人员要求</w:t>
      </w:r>
    </w:p>
    <w:p w14:paraId="3A599558" w14:textId="77777777" w:rsidR="007668F0" w:rsidRPr="00746871" w:rsidRDefault="007668F0" w:rsidP="007668F0">
      <w:pPr>
        <w:pStyle w:val="afa"/>
        <w:rPr>
          <w:rFonts w:ascii="宋体" w:hAnsi="宋体" w:cstheme="minorBidi"/>
          <w:szCs w:val="22"/>
        </w:rPr>
      </w:pPr>
      <w:r w:rsidRPr="00746871">
        <w:rPr>
          <w:rFonts w:ascii="宋体" w:hAnsi="宋体" w:cstheme="minorBidi" w:hint="eastAsia"/>
          <w:szCs w:val="22"/>
        </w:rPr>
        <w:t>制定核查计划时应当考虑报告主体排放边界、场所数量、排放源和排放设施等因素，制定的核查计划需得到报告主体的认可。</w:t>
      </w:r>
      <w:r w:rsidR="0016750F" w:rsidRPr="00746871">
        <w:rPr>
          <w:rFonts w:ascii="宋体" w:hAnsi="宋体" w:cstheme="minorBidi" w:hint="eastAsia"/>
          <w:szCs w:val="22"/>
        </w:rPr>
        <w:t>核查组在制定核查计划时，需要收集报告主体的初始排放报告、温室气体排放源、燃料使用量、计量器具等相关资料，开展初始文件评审。</w:t>
      </w:r>
    </w:p>
    <w:p w14:paraId="19C3141B" w14:textId="77777777" w:rsidR="007668F0" w:rsidRPr="00746871" w:rsidRDefault="007668F0" w:rsidP="007668F0">
      <w:pPr>
        <w:pStyle w:val="afa"/>
        <w:rPr>
          <w:rFonts w:ascii="宋体" w:hAnsi="宋体" w:cstheme="minorBidi"/>
          <w:szCs w:val="22"/>
        </w:rPr>
      </w:pPr>
      <w:r w:rsidRPr="00746871">
        <w:rPr>
          <w:rFonts w:ascii="宋体" w:hAnsi="宋体" w:cstheme="minorBidi" w:hint="eastAsia"/>
          <w:szCs w:val="22"/>
        </w:rPr>
        <w:t>在核查过程中，如有必要，可对核查计划进行修订，但应及时与委托方和报告主体沟通确认。</w:t>
      </w:r>
    </w:p>
    <w:p w14:paraId="6BE7200E" w14:textId="1AAA611D" w:rsidR="007668F0" w:rsidRPr="00746871" w:rsidRDefault="007668F0" w:rsidP="00755FA1">
      <w:pPr>
        <w:pStyle w:val="a2"/>
        <w:numPr>
          <w:ilvl w:val="0"/>
          <w:numId w:val="42"/>
        </w:numPr>
        <w:rPr>
          <w:rFonts w:ascii="宋体" w:eastAsia="宋体" w:hAnsi="宋体"/>
        </w:rPr>
      </w:pPr>
      <w:bookmarkStart w:id="62" w:name="_Toc17464314"/>
      <w:r w:rsidRPr="00746871">
        <w:rPr>
          <w:rFonts w:ascii="宋体" w:eastAsia="宋体" w:hAnsi="宋体" w:hint="eastAsia"/>
        </w:rPr>
        <w:lastRenderedPageBreak/>
        <w:t>计划的监视、评审及改进</w:t>
      </w:r>
      <w:bookmarkEnd w:id="62"/>
    </w:p>
    <w:p w14:paraId="1CC5A788" w14:textId="77777777" w:rsidR="007668F0" w:rsidRPr="00746871" w:rsidRDefault="007668F0" w:rsidP="007668F0">
      <w:pPr>
        <w:pStyle w:val="a9"/>
        <w:rPr>
          <w:rFonts w:eastAsia="宋体" w:hAnsi="宋体"/>
        </w:rPr>
      </w:pPr>
      <w:r w:rsidRPr="00746871">
        <w:rPr>
          <w:rFonts w:eastAsia="宋体" w:hAnsi="宋体" w:hint="eastAsia"/>
        </w:rPr>
        <w:t>核查机构应指定管理人员对项目的核查计划进行监视、评审，判断项目实施过程的有效性，同时，应对出现的不适宜之处进行改进。</w:t>
      </w:r>
    </w:p>
    <w:p w14:paraId="65B8DC5A" w14:textId="33FBF917" w:rsidR="007668F0" w:rsidRPr="00746871" w:rsidRDefault="007668F0" w:rsidP="00C8532E">
      <w:pPr>
        <w:pStyle w:val="a9"/>
        <w:spacing w:beforeLines="50" w:before="156" w:afterLines="50" w:after="156"/>
        <w:ind w:firstLineChars="0" w:firstLine="0"/>
        <w:outlineLvl w:val="3"/>
        <w:rPr>
          <w:rFonts w:ascii="黑体" w:eastAsia="黑体" w:hAnsi="黑体" w:cstheme="majorBidi"/>
          <w:bCs/>
          <w:szCs w:val="28"/>
        </w:rPr>
      </w:pPr>
      <w:r w:rsidRPr="00746871">
        <w:rPr>
          <w:rFonts w:ascii="黑体" w:eastAsia="黑体" w:hAnsi="黑体" w:cstheme="majorBidi" w:hint="eastAsia"/>
          <w:bCs/>
          <w:szCs w:val="28"/>
        </w:rPr>
        <w:t>6</w:t>
      </w:r>
      <w:r w:rsidRPr="00746871">
        <w:rPr>
          <w:rFonts w:ascii="黑体" w:eastAsia="黑体" w:hAnsi="黑体" w:cstheme="majorBidi"/>
          <w:bCs/>
          <w:szCs w:val="28"/>
        </w:rPr>
        <w:t>.</w:t>
      </w:r>
      <w:r w:rsidR="00CF77A1">
        <w:rPr>
          <w:rFonts w:ascii="黑体" w:eastAsia="黑体" w:hAnsi="黑体" w:cstheme="majorBidi"/>
          <w:bCs/>
          <w:szCs w:val="28"/>
        </w:rPr>
        <w:t>6</w:t>
      </w:r>
      <w:r w:rsidRPr="00746871">
        <w:rPr>
          <w:rFonts w:ascii="黑体" w:eastAsia="黑体" w:hAnsi="黑体" w:cstheme="majorBidi"/>
          <w:bCs/>
          <w:szCs w:val="28"/>
        </w:rPr>
        <w:t xml:space="preserve">.1 </w:t>
      </w:r>
      <w:r w:rsidRPr="00746871">
        <w:rPr>
          <w:rFonts w:ascii="黑体" w:eastAsia="黑体" w:hAnsi="黑体" w:cstheme="majorBidi" w:hint="eastAsia"/>
          <w:bCs/>
          <w:szCs w:val="28"/>
        </w:rPr>
        <w:t>核查计划的监视</w:t>
      </w:r>
    </w:p>
    <w:p w14:paraId="7FEA61A0" w14:textId="77777777" w:rsidR="007668F0" w:rsidRPr="00746871" w:rsidRDefault="007668F0" w:rsidP="007668F0">
      <w:pPr>
        <w:pStyle w:val="a9"/>
        <w:rPr>
          <w:rFonts w:eastAsia="宋体" w:hAnsi="宋体"/>
        </w:rPr>
      </w:pPr>
      <w:r w:rsidRPr="00746871">
        <w:rPr>
          <w:rFonts w:eastAsia="宋体" w:hAnsi="宋体" w:hint="eastAsia"/>
        </w:rPr>
        <w:t>核查机构应监视核查计划的实施，并关注下列内容：</w:t>
      </w:r>
    </w:p>
    <w:p w14:paraId="5DB03DC5" w14:textId="77777777" w:rsidR="007668F0" w:rsidRPr="00746871" w:rsidRDefault="007668F0" w:rsidP="000524A2">
      <w:pPr>
        <w:pStyle w:val="a9"/>
        <w:numPr>
          <w:ilvl w:val="1"/>
          <w:numId w:val="22"/>
        </w:numPr>
        <w:ind w:left="840" w:firstLineChars="0"/>
        <w:rPr>
          <w:rFonts w:eastAsia="宋体" w:hAnsi="宋体"/>
        </w:rPr>
      </w:pPr>
      <w:r w:rsidRPr="00746871">
        <w:rPr>
          <w:rFonts w:eastAsia="宋体" w:hAnsi="宋体" w:hint="eastAsia"/>
        </w:rPr>
        <w:t>评价与核查计划的符合性；</w:t>
      </w:r>
    </w:p>
    <w:p w14:paraId="4D3E9824" w14:textId="77777777" w:rsidR="007668F0" w:rsidRPr="00746871" w:rsidRDefault="007668F0" w:rsidP="000524A2">
      <w:pPr>
        <w:pStyle w:val="a9"/>
        <w:numPr>
          <w:ilvl w:val="1"/>
          <w:numId w:val="22"/>
        </w:numPr>
        <w:ind w:left="840" w:firstLineChars="0"/>
        <w:rPr>
          <w:rFonts w:eastAsia="宋体" w:hAnsi="宋体"/>
        </w:rPr>
      </w:pPr>
      <w:r w:rsidRPr="00746871">
        <w:rPr>
          <w:rFonts w:eastAsia="宋体" w:hAnsi="宋体" w:hint="eastAsia"/>
        </w:rPr>
        <w:t xml:space="preserve">评价核查组实施核查活动的能力； </w:t>
      </w:r>
    </w:p>
    <w:p w14:paraId="755F744B" w14:textId="77777777" w:rsidR="007668F0" w:rsidRPr="00746871" w:rsidRDefault="007668F0" w:rsidP="000524A2">
      <w:pPr>
        <w:pStyle w:val="a9"/>
        <w:numPr>
          <w:ilvl w:val="1"/>
          <w:numId w:val="22"/>
        </w:numPr>
        <w:ind w:left="840" w:firstLineChars="0"/>
        <w:rPr>
          <w:rFonts w:eastAsia="宋体" w:hAnsi="宋体"/>
        </w:rPr>
      </w:pPr>
      <w:r w:rsidRPr="00746871">
        <w:rPr>
          <w:rFonts w:eastAsia="宋体" w:hAnsi="宋体" w:hint="eastAsia"/>
        </w:rPr>
        <w:t>评价来自报告主体、核查员及其他相关方的反馈；</w:t>
      </w:r>
    </w:p>
    <w:p w14:paraId="69FD4B91" w14:textId="1899EDC6" w:rsidR="007668F0" w:rsidRPr="00746871" w:rsidRDefault="007668F0" w:rsidP="000A2041">
      <w:pPr>
        <w:pStyle w:val="a9"/>
        <w:numPr>
          <w:ilvl w:val="1"/>
          <w:numId w:val="22"/>
        </w:numPr>
        <w:ind w:left="840" w:firstLineChars="0"/>
        <w:rPr>
          <w:rFonts w:eastAsia="宋体" w:hAnsi="宋体"/>
        </w:rPr>
      </w:pPr>
      <w:r w:rsidRPr="00746871">
        <w:rPr>
          <w:rFonts w:eastAsia="宋体" w:hAnsi="宋体" w:hint="eastAsia"/>
        </w:rPr>
        <w:t>有些因素可能决定是否需要修改方案，如：核查发现；</w:t>
      </w:r>
    </w:p>
    <w:p w14:paraId="3548F04A" w14:textId="0FF84B35" w:rsidR="007668F0" w:rsidRPr="00746871" w:rsidRDefault="007668F0" w:rsidP="000A2041">
      <w:pPr>
        <w:pStyle w:val="a9"/>
        <w:numPr>
          <w:ilvl w:val="1"/>
          <w:numId w:val="22"/>
        </w:numPr>
        <w:ind w:left="840" w:firstLineChars="0"/>
        <w:rPr>
          <w:rFonts w:eastAsia="宋体" w:hAnsi="宋体"/>
        </w:rPr>
      </w:pPr>
      <w:r w:rsidRPr="00746871">
        <w:rPr>
          <w:rFonts w:eastAsia="宋体" w:hAnsi="宋体" w:hint="eastAsia"/>
        </w:rPr>
        <w:t>经证实的被核查方的能源管理水平；</w:t>
      </w:r>
    </w:p>
    <w:p w14:paraId="4A370EF7" w14:textId="7FB17C28" w:rsidR="007668F0" w:rsidRPr="00746871" w:rsidRDefault="007668F0" w:rsidP="000A2041">
      <w:pPr>
        <w:pStyle w:val="a9"/>
        <w:numPr>
          <w:ilvl w:val="1"/>
          <w:numId w:val="22"/>
        </w:numPr>
        <w:ind w:left="840" w:firstLineChars="0"/>
        <w:rPr>
          <w:rFonts w:eastAsia="宋体" w:hAnsi="宋体"/>
        </w:rPr>
      </w:pPr>
      <w:r w:rsidRPr="00746871">
        <w:rPr>
          <w:rFonts w:eastAsia="宋体" w:hAnsi="宋体" w:hint="eastAsia"/>
        </w:rPr>
        <w:t>核查委托方的目的或被核查主体情况的变化；</w:t>
      </w:r>
    </w:p>
    <w:p w14:paraId="3D45E988" w14:textId="12983563" w:rsidR="007668F0" w:rsidRPr="00746871" w:rsidRDefault="007668F0" w:rsidP="000A2041">
      <w:pPr>
        <w:pStyle w:val="a9"/>
        <w:numPr>
          <w:ilvl w:val="1"/>
          <w:numId w:val="22"/>
        </w:numPr>
        <w:ind w:left="840" w:firstLineChars="0"/>
        <w:rPr>
          <w:rFonts w:eastAsia="宋体" w:hAnsi="宋体"/>
        </w:rPr>
      </w:pPr>
      <w:r w:rsidRPr="00746871">
        <w:rPr>
          <w:rFonts w:eastAsia="宋体" w:hAnsi="宋体" w:hint="eastAsia"/>
        </w:rPr>
        <w:t>法律法规要求、标准要求、合同要求和委托方所承诺的其他要求发生变化等。</w:t>
      </w:r>
    </w:p>
    <w:p w14:paraId="71A62728" w14:textId="75DFFBC7" w:rsidR="007668F0" w:rsidRPr="00746871" w:rsidRDefault="007668F0" w:rsidP="00694A8A">
      <w:pPr>
        <w:spacing w:beforeLines="50" w:before="156" w:afterLines="50" w:after="156"/>
        <w:ind w:firstLineChars="0" w:firstLine="0"/>
        <w:outlineLvl w:val="3"/>
        <w:rPr>
          <w:rFonts w:ascii="黑体" w:eastAsia="黑体" w:hAnsi="黑体" w:cstheme="majorBidi"/>
          <w:bCs/>
          <w:szCs w:val="28"/>
        </w:rPr>
      </w:pPr>
      <w:r w:rsidRPr="00746871">
        <w:rPr>
          <w:rFonts w:ascii="黑体" w:eastAsia="黑体" w:hAnsi="黑体" w:cstheme="majorBidi" w:hint="eastAsia"/>
          <w:bCs/>
          <w:szCs w:val="28"/>
        </w:rPr>
        <w:t>6</w:t>
      </w:r>
      <w:r w:rsidRPr="00746871">
        <w:rPr>
          <w:rFonts w:ascii="黑体" w:eastAsia="黑体" w:hAnsi="黑体" w:cstheme="majorBidi"/>
          <w:bCs/>
          <w:szCs w:val="28"/>
        </w:rPr>
        <w:t>.</w:t>
      </w:r>
      <w:r w:rsidR="00CF77A1">
        <w:rPr>
          <w:rFonts w:ascii="黑体" w:eastAsia="黑体" w:hAnsi="黑体" w:cstheme="majorBidi"/>
          <w:bCs/>
          <w:szCs w:val="28"/>
        </w:rPr>
        <w:t>6</w:t>
      </w:r>
      <w:r w:rsidRPr="00746871">
        <w:rPr>
          <w:rFonts w:ascii="黑体" w:eastAsia="黑体" w:hAnsi="黑体" w:cstheme="majorBidi"/>
          <w:bCs/>
          <w:szCs w:val="28"/>
        </w:rPr>
        <w:t xml:space="preserve">.2 </w:t>
      </w:r>
      <w:r w:rsidRPr="00746871">
        <w:rPr>
          <w:rFonts w:ascii="黑体" w:eastAsia="黑体" w:hAnsi="黑体" w:cstheme="majorBidi" w:hint="eastAsia"/>
          <w:bCs/>
          <w:szCs w:val="28"/>
        </w:rPr>
        <w:t>核查计划的评审和改进</w:t>
      </w:r>
    </w:p>
    <w:p w14:paraId="0E391249" w14:textId="02EB5820" w:rsidR="007668F0" w:rsidRPr="00746871" w:rsidRDefault="007668F0" w:rsidP="00770985">
      <w:pPr>
        <w:ind w:firstLineChars="0" w:firstLine="0"/>
        <w:outlineLvl w:val="4"/>
        <w:rPr>
          <w:rFonts w:ascii="宋体" w:hAnsi="宋体"/>
        </w:rPr>
      </w:pPr>
      <w:r w:rsidRPr="00746871">
        <w:rPr>
          <w:rFonts w:ascii="宋体" w:hAnsi="宋体" w:hint="eastAsia"/>
        </w:rPr>
        <w:t>6</w:t>
      </w:r>
      <w:r w:rsidRPr="00746871">
        <w:rPr>
          <w:rFonts w:ascii="宋体" w:hAnsi="宋体"/>
        </w:rPr>
        <w:t>.</w:t>
      </w:r>
      <w:r w:rsidR="00CF77A1">
        <w:rPr>
          <w:rFonts w:ascii="宋体" w:hAnsi="宋体"/>
        </w:rPr>
        <w:t>6</w:t>
      </w:r>
      <w:r w:rsidRPr="00746871">
        <w:rPr>
          <w:rFonts w:ascii="宋体" w:hAnsi="宋体"/>
        </w:rPr>
        <w:t xml:space="preserve">.2.1 </w:t>
      </w:r>
      <w:r w:rsidRPr="00746871">
        <w:rPr>
          <w:rFonts w:ascii="宋体" w:hAnsi="宋体" w:hint="eastAsia"/>
        </w:rPr>
        <w:t>核查机构应对核查计划进行评审，以评估是否达到核查目标，应考虑以下内容：</w:t>
      </w:r>
    </w:p>
    <w:p w14:paraId="3E7F2B99" w14:textId="77777777" w:rsidR="007668F0" w:rsidRPr="00746871" w:rsidRDefault="007668F0" w:rsidP="000524A2">
      <w:pPr>
        <w:pStyle w:val="afa"/>
        <w:numPr>
          <w:ilvl w:val="0"/>
          <w:numId w:val="21"/>
        </w:numPr>
        <w:ind w:firstLineChars="0"/>
        <w:rPr>
          <w:rFonts w:ascii="宋体" w:hAnsi="宋体"/>
        </w:rPr>
      </w:pPr>
      <w:r w:rsidRPr="00746871">
        <w:rPr>
          <w:rFonts w:ascii="宋体" w:hAnsi="宋体" w:hint="eastAsia"/>
        </w:rPr>
        <w:t>核查计划监视的结果和趋势</w:t>
      </w:r>
      <w:r w:rsidR="00005ACC" w:rsidRPr="00746871">
        <w:rPr>
          <w:rFonts w:ascii="宋体" w:hAnsi="宋体" w:hint="eastAsia"/>
        </w:rPr>
        <w:t>；</w:t>
      </w:r>
    </w:p>
    <w:p w14:paraId="2FB86573" w14:textId="77777777" w:rsidR="007668F0" w:rsidRPr="00746871" w:rsidRDefault="007668F0" w:rsidP="000524A2">
      <w:pPr>
        <w:pStyle w:val="afa"/>
        <w:numPr>
          <w:ilvl w:val="0"/>
          <w:numId w:val="21"/>
        </w:numPr>
        <w:ind w:firstLineChars="0"/>
        <w:rPr>
          <w:rFonts w:ascii="宋体" w:hAnsi="宋体"/>
        </w:rPr>
      </w:pPr>
      <w:r w:rsidRPr="00746871">
        <w:rPr>
          <w:rFonts w:ascii="宋体" w:hAnsi="宋体" w:hint="eastAsia"/>
        </w:rPr>
        <w:t>与核查计划流程的符合性</w:t>
      </w:r>
      <w:r w:rsidR="00005ACC" w:rsidRPr="00746871">
        <w:rPr>
          <w:rFonts w:ascii="宋体" w:hAnsi="宋体" w:hint="eastAsia"/>
        </w:rPr>
        <w:t>；</w:t>
      </w:r>
    </w:p>
    <w:p w14:paraId="5018B096" w14:textId="77777777" w:rsidR="007668F0" w:rsidRPr="00746871" w:rsidRDefault="007668F0" w:rsidP="000524A2">
      <w:pPr>
        <w:pStyle w:val="afa"/>
        <w:numPr>
          <w:ilvl w:val="0"/>
          <w:numId w:val="21"/>
        </w:numPr>
        <w:ind w:firstLineChars="0"/>
        <w:rPr>
          <w:rFonts w:ascii="宋体" w:hAnsi="宋体"/>
        </w:rPr>
      </w:pPr>
      <w:r w:rsidRPr="00746871">
        <w:rPr>
          <w:rFonts w:ascii="宋体" w:hAnsi="宋体" w:hint="eastAsia"/>
        </w:rPr>
        <w:t>相关方进一步的需求和期望；</w:t>
      </w:r>
    </w:p>
    <w:p w14:paraId="5E3B5317" w14:textId="77777777" w:rsidR="007668F0" w:rsidRPr="00746871" w:rsidRDefault="007668F0" w:rsidP="000524A2">
      <w:pPr>
        <w:pStyle w:val="afa"/>
        <w:numPr>
          <w:ilvl w:val="0"/>
          <w:numId w:val="21"/>
        </w:numPr>
        <w:ind w:firstLineChars="0"/>
        <w:rPr>
          <w:rFonts w:ascii="宋体" w:hAnsi="宋体"/>
        </w:rPr>
      </w:pPr>
      <w:r w:rsidRPr="00746871">
        <w:rPr>
          <w:rFonts w:ascii="宋体" w:hAnsi="宋体" w:hint="eastAsia"/>
        </w:rPr>
        <w:t>核查计划策划及实施的记录；</w:t>
      </w:r>
    </w:p>
    <w:p w14:paraId="24EF8913" w14:textId="77777777" w:rsidR="00005ACC" w:rsidRPr="00746871" w:rsidRDefault="007668F0" w:rsidP="000524A2">
      <w:pPr>
        <w:pStyle w:val="afa"/>
        <w:numPr>
          <w:ilvl w:val="0"/>
          <w:numId w:val="21"/>
        </w:numPr>
        <w:ind w:firstLineChars="0"/>
        <w:rPr>
          <w:rFonts w:ascii="宋体" w:hAnsi="宋体"/>
        </w:rPr>
      </w:pPr>
      <w:r w:rsidRPr="00746871">
        <w:rPr>
          <w:rFonts w:ascii="宋体" w:hAnsi="宋体" w:hint="eastAsia"/>
        </w:rPr>
        <w:t>解决与核查计划相关风险措施的有效性；</w:t>
      </w:r>
    </w:p>
    <w:p w14:paraId="146A7113" w14:textId="77777777" w:rsidR="007668F0" w:rsidRPr="00746871" w:rsidRDefault="007668F0" w:rsidP="000524A2">
      <w:pPr>
        <w:pStyle w:val="afa"/>
        <w:numPr>
          <w:ilvl w:val="0"/>
          <w:numId w:val="21"/>
        </w:numPr>
        <w:ind w:firstLineChars="0"/>
        <w:rPr>
          <w:rFonts w:ascii="宋体" w:hAnsi="宋体"/>
        </w:rPr>
      </w:pPr>
      <w:r w:rsidRPr="00746871">
        <w:rPr>
          <w:rFonts w:ascii="宋体" w:hAnsi="宋体" w:hint="eastAsia"/>
        </w:rPr>
        <w:t>与核查计划有关的保密和信息安全事宜；</w:t>
      </w:r>
    </w:p>
    <w:p w14:paraId="5280B134" w14:textId="77777777" w:rsidR="007668F0" w:rsidRPr="00746871" w:rsidRDefault="007668F0" w:rsidP="000524A2">
      <w:pPr>
        <w:pStyle w:val="afa"/>
        <w:numPr>
          <w:ilvl w:val="0"/>
          <w:numId w:val="21"/>
        </w:numPr>
        <w:ind w:firstLineChars="0"/>
        <w:rPr>
          <w:rFonts w:ascii="宋体" w:hAnsi="宋体"/>
        </w:rPr>
      </w:pPr>
      <w:r w:rsidRPr="00746871">
        <w:rPr>
          <w:rFonts w:ascii="宋体" w:hAnsi="宋体" w:hint="eastAsia"/>
        </w:rPr>
        <w:t>评审核查组开展核查的专业能力。</w:t>
      </w:r>
    </w:p>
    <w:p w14:paraId="2E1B06C9" w14:textId="3DDA7D0A" w:rsidR="007668F0" w:rsidRPr="00746871" w:rsidRDefault="007668F0" w:rsidP="00E90F74">
      <w:pPr>
        <w:spacing w:beforeLines="50" w:before="156" w:afterLines="50" w:after="156"/>
        <w:ind w:firstLineChars="0" w:firstLine="0"/>
        <w:outlineLvl w:val="4"/>
        <w:rPr>
          <w:rFonts w:ascii="宋体" w:hAnsi="宋体"/>
        </w:rPr>
      </w:pPr>
      <w:r w:rsidRPr="00746871">
        <w:rPr>
          <w:rFonts w:ascii="宋体" w:hAnsi="宋体" w:hint="eastAsia"/>
        </w:rPr>
        <w:t>6</w:t>
      </w:r>
      <w:r w:rsidRPr="00746871">
        <w:rPr>
          <w:rFonts w:ascii="宋体" w:hAnsi="宋体"/>
        </w:rPr>
        <w:t>.</w:t>
      </w:r>
      <w:r w:rsidR="00CF77A1">
        <w:rPr>
          <w:rFonts w:ascii="宋体" w:hAnsi="宋体"/>
        </w:rPr>
        <w:t>6</w:t>
      </w:r>
      <w:r w:rsidRPr="00746871">
        <w:rPr>
          <w:rFonts w:ascii="宋体" w:hAnsi="宋体"/>
        </w:rPr>
        <w:t xml:space="preserve">.2.2 </w:t>
      </w:r>
      <w:r w:rsidRPr="00746871">
        <w:rPr>
          <w:rFonts w:ascii="宋体" w:hAnsi="宋体" w:hint="eastAsia"/>
        </w:rPr>
        <w:t>核查机构应评审计划的总体实施情况，评审中得到的经验教训应用于持续改进计划过程的输入，通过识别改进区域，必要时修改核查计划。</w:t>
      </w:r>
    </w:p>
    <w:p w14:paraId="5DE02043" w14:textId="77777777" w:rsidR="007668F0" w:rsidRPr="00746871" w:rsidRDefault="007668F0" w:rsidP="007668F0">
      <w:pPr>
        <w:pStyle w:val="a1"/>
        <w:numPr>
          <w:ilvl w:val="0"/>
          <w:numId w:val="1"/>
        </w:numPr>
      </w:pPr>
      <w:bookmarkStart w:id="63" w:name="_Toc17464315"/>
      <w:r w:rsidRPr="00746871">
        <w:rPr>
          <w:rFonts w:hint="eastAsia"/>
        </w:rPr>
        <w:t>核查实施</w:t>
      </w:r>
      <w:bookmarkEnd w:id="63"/>
    </w:p>
    <w:p w14:paraId="7A42A2F9" w14:textId="77777777" w:rsidR="007668F0" w:rsidRPr="00746871" w:rsidRDefault="003D246D" w:rsidP="000524A2">
      <w:pPr>
        <w:pStyle w:val="a2"/>
        <w:numPr>
          <w:ilvl w:val="0"/>
          <w:numId w:val="4"/>
        </w:numPr>
      </w:pPr>
      <w:bookmarkStart w:id="64" w:name="_Toc17464316"/>
      <w:r w:rsidRPr="00746871">
        <w:rPr>
          <w:rFonts w:hint="eastAsia"/>
        </w:rPr>
        <w:t>核查计划</w:t>
      </w:r>
      <w:r w:rsidR="00666975" w:rsidRPr="00746871">
        <w:rPr>
          <w:rFonts w:hint="eastAsia"/>
        </w:rPr>
        <w:t>的发送</w:t>
      </w:r>
      <w:bookmarkEnd w:id="64"/>
    </w:p>
    <w:p w14:paraId="7F024C20" w14:textId="5DEE9775" w:rsidR="007668F0" w:rsidRPr="00746871" w:rsidRDefault="00666975" w:rsidP="00592B26">
      <w:pPr>
        <w:pStyle w:val="a9"/>
        <w:rPr>
          <w:rFonts w:eastAsia="宋体" w:hAnsi="宋体"/>
        </w:rPr>
      </w:pPr>
      <w:r w:rsidRPr="00746871">
        <w:rPr>
          <w:rFonts w:eastAsia="宋体" w:hAnsi="宋体" w:hint="eastAsia"/>
        </w:rPr>
        <w:t>核查组应依据核查计划开展核查活动</w:t>
      </w:r>
      <w:r w:rsidR="00592B26" w:rsidRPr="00746871">
        <w:rPr>
          <w:rFonts w:eastAsia="宋体" w:hAnsi="宋体" w:hint="eastAsia"/>
        </w:rPr>
        <w:t>，并</w:t>
      </w:r>
      <w:r w:rsidR="00935008" w:rsidRPr="00746871">
        <w:rPr>
          <w:rFonts w:eastAsia="宋体" w:hAnsi="宋体" w:hint="eastAsia"/>
        </w:rPr>
        <w:t>应提前</w:t>
      </w:r>
      <w:r w:rsidR="00EC6FFD" w:rsidRPr="00746871">
        <w:rPr>
          <w:rFonts w:eastAsia="宋体" w:hAnsi="宋体" w:hint="eastAsia"/>
        </w:rPr>
        <w:t>至少2天</w:t>
      </w:r>
      <w:r w:rsidR="00935008" w:rsidRPr="00746871">
        <w:rPr>
          <w:rFonts w:eastAsia="宋体" w:hAnsi="宋体" w:hint="eastAsia"/>
        </w:rPr>
        <w:t>将核查计划发送</w:t>
      </w:r>
      <w:r w:rsidR="00901012" w:rsidRPr="00746871">
        <w:rPr>
          <w:rFonts w:eastAsia="宋体" w:hAnsi="宋体" w:hint="eastAsia"/>
        </w:rPr>
        <w:t>报告主体或委托方，以便报告主体做好准备</w:t>
      </w:r>
      <w:r w:rsidR="00935008" w:rsidRPr="00746871">
        <w:rPr>
          <w:rFonts w:eastAsia="宋体" w:hAnsi="宋体" w:hint="eastAsia"/>
        </w:rPr>
        <w:t>。</w:t>
      </w:r>
    </w:p>
    <w:p w14:paraId="162F63B6" w14:textId="25355E9D" w:rsidR="007668F0" w:rsidRPr="00746871" w:rsidRDefault="00962A45" w:rsidP="000524A2">
      <w:pPr>
        <w:pStyle w:val="a2"/>
        <w:numPr>
          <w:ilvl w:val="0"/>
          <w:numId w:val="4"/>
        </w:numPr>
      </w:pPr>
      <w:bookmarkStart w:id="65" w:name="_Toc17464317"/>
      <w:r w:rsidRPr="00746871">
        <w:rPr>
          <w:rFonts w:hint="eastAsia"/>
        </w:rPr>
        <w:t>现场核查</w:t>
      </w:r>
      <w:bookmarkEnd w:id="65"/>
    </w:p>
    <w:p w14:paraId="3310E8CD" w14:textId="6173FB99" w:rsidR="007668F0" w:rsidRPr="00746871" w:rsidRDefault="007668F0" w:rsidP="00A30A07">
      <w:pPr>
        <w:pStyle w:val="a9"/>
        <w:spacing w:beforeLines="50" w:before="156" w:afterLines="50" w:after="156"/>
        <w:ind w:firstLineChars="0" w:firstLine="0"/>
        <w:outlineLvl w:val="3"/>
        <w:rPr>
          <w:rFonts w:ascii="黑体" w:eastAsia="黑体" w:hAnsi="黑体" w:cstheme="majorBidi"/>
          <w:bCs/>
          <w:szCs w:val="28"/>
        </w:rPr>
      </w:pPr>
      <w:r w:rsidRPr="00746871">
        <w:rPr>
          <w:rFonts w:ascii="黑体" w:eastAsia="黑体" w:hAnsi="黑体" w:cstheme="majorBidi" w:hint="eastAsia"/>
          <w:bCs/>
          <w:szCs w:val="28"/>
        </w:rPr>
        <w:t>7.2.1</w:t>
      </w:r>
      <w:r w:rsidRPr="00746871">
        <w:rPr>
          <w:rFonts w:ascii="黑体" w:eastAsia="黑体" w:hAnsi="黑体" w:cstheme="majorBidi"/>
          <w:bCs/>
          <w:szCs w:val="28"/>
        </w:rPr>
        <w:t xml:space="preserve"> </w:t>
      </w:r>
      <w:r w:rsidR="00962A45" w:rsidRPr="00746871">
        <w:rPr>
          <w:rFonts w:ascii="黑体" w:eastAsia="黑体" w:hAnsi="黑体" w:cstheme="majorBidi" w:hint="eastAsia"/>
          <w:bCs/>
          <w:szCs w:val="28"/>
        </w:rPr>
        <w:t>总则</w:t>
      </w:r>
    </w:p>
    <w:p w14:paraId="2ABFD658" w14:textId="00714352" w:rsidR="007668F0" w:rsidRPr="00746871" w:rsidRDefault="007668F0" w:rsidP="007668F0">
      <w:pPr>
        <w:ind w:firstLine="420"/>
      </w:pPr>
      <w:r w:rsidRPr="00746871">
        <w:rPr>
          <w:rFonts w:hint="eastAsia"/>
        </w:rPr>
        <w:t>现场核查首次会议</w:t>
      </w:r>
      <w:r w:rsidR="00171FCA" w:rsidRPr="00746871">
        <w:rPr>
          <w:rFonts w:hint="eastAsia"/>
        </w:rPr>
        <w:t>可</w:t>
      </w:r>
      <w:r w:rsidRPr="00746871">
        <w:rPr>
          <w:rFonts w:hint="eastAsia"/>
        </w:rPr>
        <w:t>介绍核查计划、现场收集和</w:t>
      </w:r>
      <w:r w:rsidR="00631AE9" w:rsidRPr="00746871">
        <w:rPr>
          <w:rFonts w:hint="eastAsia"/>
        </w:rPr>
        <w:t>验证</w:t>
      </w:r>
      <w:r w:rsidRPr="00746871">
        <w:rPr>
          <w:rFonts w:hint="eastAsia"/>
        </w:rPr>
        <w:t>核查证据</w:t>
      </w:r>
      <w:r w:rsidR="00171FCA" w:rsidRPr="00746871">
        <w:rPr>
          <w:rFonts w:hint="eastAsia"/>
        </w:rPr>
        <w:t>，</w:t>
      </w:r>
      <w:r w:rsidRPr="00746871">
        <w:rPr>
          <w:rFonts w:hint="eastAsia"/>
        </w:rPr>
        <w:t>总结会</w:t>
      </w:r>
      <w:r w:rsidR="00171FCA" w:rsidRPr="00746871">
        <w:rPr>
          <w:rFonts w:hint="eastAsia"/>
        </w:rPr>
        <w:t>可</w:t>
      </w:r>
      <w:r w:rsidRPr="00746871">
        <w:rPr>
          <w:rFonts w:hint="eastAsia"/>
        </w:rPr>
        <w:t>介绍核查发现。</w:t>
      </w:r>
    </w:p>
    <w:p w14:paraId="1C8EA797" w14:textId="14305AF0" w:rsidR="007668F0" w:rsidRPr="00746871" w:rsidRDefault="007668F0" w:rsidP="007668F0">
      <w:pPr>
        <w:ind w:firstLine="420"/>
      </w:pPr>
      <w:r w:rsidRPr="00746871">
        <w:rPr>
          <w:rFonts w:hint="eastAsia"/>
        </w:rPr>
        <w:t>核查组应对在现场获取的信息的真实性进行</w:t>
      </w:r>
      <w:r w:rsidR="00171FCA" w:rsidRPr="00746871">
        <w:rPr>
          <w:rFonts w:hint="eastAsia"/>
        </w:rPr>
        <w:t>核验</w:t>
      </w:r>
      <w:r w:rsidRPr="00746871">
        <w:rPr>
          <w:rFonts w:hint="eastAsia"/>
        </w:rPr>
        <w:t>，确保其能够满足核查的要求。必要时可以在获得报告主体同意后，采用复印、记录、摄影、录像等方式保存相关的核查证据。</w:t>
      </w:r>
    </w:p>
    <w:p w14:paraId="27C0197C" w14:textId="1E1D5ADE" w:rsidR="00822B47" w:rsidRPr="00746871" w:rsidRDefault="00822B47" w:rsidP="007668F0">
      <w:pPr>
        <w:ind w:firstLine="420"/>
      </w:pPr>
      <w:r w:rsidRPr="00746871">
        <w:rPr>
          <w:rFonts w:hint="eastAsia"/>
        </w:rPr>
        <w:t>现场核查过程中，如果识别出</w:t>
      </w:r>
      <w:r w:rsidR="0040272D" w:rsidRPr="00746871">
        <w:rPr>
          <w:rFonts w:hint="eastAsia"/>
        </w:rPr>
        <w:t>影响</w:t>
      </w:r>
      <w:r w:rsidRPr="00746871">
        <w:rPr>
          <w:rFonts w:hint="eastAsia"/>
        </w:rPr>
        <w:t>排放量</w:t>
      </w:r>
      <w:r w:rsidR="00256045" w:rsidRPr="00746871">
        <w:rPr>
          <w:rFonts w:hint="eastAsia"/>
        </w:rPr>
        <w:t>的</w:t>
      </w:r>
      <w:r w:rsidRPr="00746871">
        <w:rPr>
          <w:rFonts w:hint="eastAsia"/>
        </w:rPr>
        <w:t>监测</w:t>
      </w:r>
      <w:r w:rsidR="00256045" w:rsidRPr="00746871">
        <w:rPr>
          <w:rFonts w:hint="eastAsia"/>
        </w:rPr>
        <w:t>与数据相关</w:t>
      </w:r>
      <w:r w:rsidRPr="00746871">
        <w:rPr>
          <w:rFonts w:hint="eastAsia"/>
        </w:rPr>
        <w:t>的问题，核查组应对这些问题进行识别、提出不符合并在总结会议上给出核查发现。</w:t>
      </w:r>
    </w:p>
    <w:p w14:paraId="0F9E646B" w14:textId="77777777" w:rsidR="007668F0" w:rsidRPr="00746871" w:rsidRDefault="007668F0" w:rsidP="00A30A07">
      <w:pPr>
        <w:pStyle w:val="a9"/>
        <w:spacing w:beforeLines="50" w:before="156" w:afterLines="50" w:after="156"/>
        <w:ind w:firstLineChars="0" w:firstLine="0"/>
        <w:outlineLvl w:val="3"/>
        <w:rPr>
          <w:rFonts w:ascii="黑体" w:eastAsia="黑体" w:hAnsi="黑体" w:cstheme="majorBidi"/>
          <w:bCs/>
          <w:szCs w:val="28"/>
        </w:rPr>
      </w:pPr>
      <w:r w:rsidRPr="00746871">
        <w:rPr>
          <w:rFonts w:ascii="黑体" w:eastAsia="黑体" w:hAnsi="黑体" w:cstheme="majorBidi" w:hint="eastAsia"/>
          <w:bCs/>
          <w:szCs w:val="28"/>
        </w:rPr>
        <w:t>7.2.2</w:t>
      </w:r>
      <w:r w:rsidRPr="00746871">
        <w:rPr>
          <w:rFonts w:ascii="黑体" w:eastAsia="黑体" w:hAnsi="黑体" w:cstheme="majorBidi"/>
          <w:bCs/>
          <w:szCs w:val="28"/>
        </w:rPr>
        <w:t xml:space="preserve"> </w:t>
      </w:r>
      <w:r w:rsidRPr="00746871">
        <w:rPr>
          <w:rFonts w:ascii="黑体" w:eastAsia="黑体" w:hAnsi="黑体" w:cstheme="majorBidi" w:hint="eastAsia"/>
          <w:bCs/>
          <w:szCs w:val="28"/>
        </w:rPr>
        <w:t>边界选取的核查</w:t>
      </w:r>
    </w:p>
    <w:p w14:paraId="4A7F2374" w14:textId="4E771B2D" w:rsidR="007668F0" w:rsidRPr="00746871" w:rsidRDefault="007668F0" w:rsidP="002F0180">
      <w:pPr>
        <w:pStyle w:val="a9"/>
        <w:rPr>
          <w:rFonts w:eastAsia="宋体" w:hAnsi="宋体"/>
        </w:rPr>
      </w:pPr>
      <w:r w:rsidRPr="00746871">
        <w:rPr>
          <w:rFonts w:eastAsia="宋体" w:hAnsi="宋体" w:hint="eastAsia"/>
        </w:rPr>
        <w:lastRenderedPageBreak/>
        <w:t>核查员应根据所依据的核算和报告准则中</w:t>
      </w:r>
      <w:r w:rsidR="0084283E" w:rsidRPr="00746871">
        <w:rPr>
          <w:rFonts w:eastAsia="宋体" w:hAnsi="宋体" w:hint="eastAsia"/>
        </w:rPr>
        <w:t>相关规定对预拌混凝土企业的核算边界进行核查</w:t>
      </w:r>
      <w:r w:rsidR="004103BD" w:rsidRPr="00746871">
        <w:rPr>
          <w:rFonts w:eastAsia="宋体" w:hAnsi="宋体" w:hint="eastAsia"/>
        </w:rPr>
        <w:t>，参见附录</w:t>
      </w:r>
      <w:r w:rsidR="00223629" w:rsidRPr="00746871">
        <w:rPr>
          <w:rFonts w:eastAsia="宋体" w:hAnsi="宋体"/>
        </w:rPr>
        <w:t>B</w:t>
      </w:r>
      <w:r w:rsidR="004103BD" w:rsidRPr="00746871">
        <w:rPr>
          <w:rFonts w:eastAsia="宋体" w:hAnsi="宋体" w:hint="eastAsia"/>
        </w:rPr>
        <w:t>。</w:t>
      </w:r>
      <w:r w:rsidR="00D857DD">
        <w:rPr>
          <w:rFonts w:eastAsia="宋体" w:hAnsi="宋体" w:hint="eastAsia"/>
        </w:rPr>
        <w:t>报告主体应以企业法人或视同法人的独立核算单位为边界</w:t>
      </w:r>
      <w:r w:rsidR="00EB6D50">
        <w:rPr>
          <w:rFonts w:eastAsia="宋体" w:hAnsi="宋体" w:hint="eastAsia"/>
        </w:rPr>
        <w:t>，核算和报告其生产系统产生的温室气体排放</w:t>
      </w:r>
      <w:r w:rsidRPr="00746871">
        <w:rPr>
          <w:rFonts w:eastAsia="宋体" w:hAnsi="宋体" w:hint="eastAsia"/>
        </w:rPr>
        <w:t>。生产系统包括主要生产系统、辅助生产系统及附属生产系统，其中辅助生产系统包括动力、供电、供水、化验、机修、库房、运输</w:t>
      </w:r>
      <w:r w:rsidR="00D57E2C" w:rsidRPr="00746871">
        <w:rPr>
          <w:rFonts w:eastAsia="宋体" w:hAnsi="宋体" w:hint="eastAsia"/>
        </w:rPr>
        <w:t>、</w:t>
      </w:r>
      <w:r w:rsidR="00D57E2C" w:rsidRPr="00746871">
        <w:rPr>
          <w:rFonts w:eastAsia="宋体" w:hAnsi="宋体"/>
        </w:rPr>
        <w:t>供暖</w:t>
      </w:r>
      <w:r w:rsidRPr="00746871">
        <w:rPr>
          <w:rFonts w:eastAsia="宋体" w:hAnsi="宋体" w:hint="eastAsia"/>
        </w:rPr>
        <w:t>等；附属生产系统包括生产指挥系统（厂部）厂区内为生产服务的部门和单位（如职工食堂、车间浴室、保健站</w:t>
      </w:r>
      <w:r w:rsidR="00D57E2C" w:rsidRPr="00746871">
        <w:rPr>
          <w:rFonts w:eastAsia="宋体" w:hAnsi="宋体" w:hint="eastAsia"/>
        </w:rPr>
        <w:t>、</w:t>
      </w:r>
      <w:r w:rsidR="00D57E2C" w:rsidRPr="00746871">
        <w:rPr>
          <w:rFonts w:eastAsia="宋体" w:hAnsi="宋体"/>
        </w:rPr>
        <w:t>绿化、降尘</w:t>
      </w:r>
      <w:r w:rsidRPr="00746871">
        <w:rPr>
          <w:rFonts w:eastAsia="宋体" w:hAnsi="宋体" w:hint="eastAsia"/>
        </w:rPr>
        <w:t>等）。</w:t>
      </w:r>
    </w:p>
    <w:p w14:paraId="0A7FF708" w14:textId="77777777" w:rsidR="00677A91" w:rsidRPr="00746871" w:rsidRDefault="00677A91" w:rsidP="002F0180">
      <w:pPr>
        <w:pStyle w:val="a9"/>
        <w:rPr>
          <w:rFonts w:eastAsia="宋体" w:hAnsi="宋体"/>
        </w:rPr>
      </w:pPr>
      <w:r w:rsidRPr="00746871">
        <w:rPr>
          <w:rFonts w:eastAsia="宋体" w:hAnsi="宋体" w:hint="eastAsia"/>
        </w:rPr>
        <w:t>核查员对报告主体的运营边界以及履约期相应的时间段进行核查，主要审阅以下资料：</w:t>
      </w:r>
    </w:p>
    <w:p w14:paraId="6A3491DF" w14:textId="77777777" w:rsidR="00677A91" w:rsidRPr="00746871" w:rsidRDefault="00260AB8" w:rsidP="000524A2">
      <w:pPr>
        <w:pStyle w:val="afa"/>
        <w:numPr>
          <w:ilvl w:val="0"/>
          <w:numId w:val="20"/>
        </w:numPr>
        <w:ind w:left="840" w:firstLineChars="0"/>
      </w:pPr>
      <w:r w:rsidRPr="00746871">
        <w:rPr>
          <w:rFonts w:hint="eastAsia"/>
        </w:rPr>
        <w:t>通过</w:t>
      </w:r>
      <w:r w:rsidR="00F12C49" w:rsidRPr="00746871">
        <w:rPr>
          <w:rFonts w:hint="eastAsia"/>
        </w:rPr>
        <w:t>审阅</w:t>
      </w:r>
      <w:r w:rsidR="00677A91" w:rsidRPr="00746871">
        <w:rPr>
          <w:rFonts w:hint="eastAsia"/>
        </w:rPr>
        <w:t>营业执照、企业组织机构图、厂区平面图</w:t>
      </w:r>
      <w:r w:rsidR="007B5083" w:rsidRPr="00746871">
        <w:rPr>
          <w:rFonts w:hint="eastAsia"/>
        </w:rPr>
        <w:t>、以及现场观察及人员访谈，</w:t>
      </w:r>
      <w:r w:rsidR="00D34E84" w:rsidRPr="00746871">
        <w:rPr>
          <w:rFonts w:hint="eastAsia"/>
        </w:rPr>
        <w:t>核查</w:t>
      </w:r>
      <w:r w:rsidR="00C050CE" w:rsidRPr="00746871">
        <w:rPr>
          <w:rFonts w:hint="eastAsia"/>
        </w:rPr>
        <w:t>地理边界与排放报告的符合情况</w:t>
      </w:r>
      <w:r w:rsidR="007B5083" w:rsidRPr="00746871">
        <w:rPr>
          <w:rFonts w:hint="eastAsia"/>
        </w:rPr>
        <w:t>：</w:t>
      </w:r>
      <w:r w:rsidR="00F12C49" w:rsidRPr="00746871">
        <w:rPr>
          <w:rFonts w:hint="eastAsia"/>
        </w:rPr>
        <w:t>若地理边界内存在租赁区域，查阅租赁合同进行信息确认；</w:t>
      </w:r>
      <w:r w:rsidR="007B5083" w:rsidRPr="00746871">
        <w:rPr>
          <w:rFonts w:hint="eastAsia"/>
        </w:rPr>
        <w:t>若</w:t>
      </w:r>
      <w:r w:rsidR="0040272D" w:rsidRPr="00746871">
        <w:rPr>
          <w:rFonts w:hint="eastAsia"/>
        </w:rPr>
        <w:t>报告主体的法人机构地理位置除注册地址以外，还有其他区域，也应纳入核查边界；</w:t>
      </w:r>
      <w:r w:rsidR="007B5083" w:rsidRPr="00746871">
        <w:rPr>
          <w:rFonts w:hint="eastAsia"/>
        </w:rPr>
        <w:t>若地理边界内存在其他法人企业，需在核查报告中清晰说明企业名称并明确其不纳入核查边界，并且充分了解企业与报告主体在能源使用上存在的联系；</w:t>
      </w:r>
      <w:r w:rsidR="000D0571" w:rsidRPr="00746871">
        <w:t xml:space="preserve"> </w:t>
      </w:r>
    </w:p>
    <w:p w14:paraId="7DCCF90A" w14:textId="77777777" w:rsidR="00677A91" w:rsidRPr="00746871" w:rsidRDefault="00F12C49" w:rsidP="000524A2">
      <w:pPr>
        <w:pStyle w:val="afa"/>
        <w:numPr>
          <w:ilvl w:val="0"/>
          <w:numId w:val="20"/>
        </w:numPr>
        <w:ind w:left="840" w:firstLineChars="0"/>
      </w:pPr>
      <w:r w:rsidRPr="00746871">
        <w:rPr>
          <w:rFonts w:hint="eastAsia"/>
        </w:rPr>
        <w:t>通过审阅</w:t>
      </w:r>
      <w:r w:rsidR="00677A91" w:rsidRPr="00746871">
        <w:rPr>
          <w:rFonts w:hint="eastAsia"/>
        </w:rPr>
        <w:t>企业生产信息简介、生产工艺流程图、主要排放设施清单</w:t>
      </w:r>
      <w:r w:rsidR="00C050CE" w:rsidRPr="00746871">
        <w:rPr>
          <w:rFonts w:hint="eastAsia"/>
        </w:rPr>
        <w:t>，</w:t>
      </w:r>
      <w:r w:rsidR="000D0571" w:rsidRPr="00746871">
        <w:rPr>
          <w:rFonts w:hint="eastAsia"/>
        </w:rPr>
        <w:t>核查设施边界与排放报告的符合情况</w:t>
      </w:r>
      <w:r w:rsidR="000D0571" w:rsidRPr="00746871">
        <w:t>,</w:t>
      </w:r>
      <w:r w:rsidR="000D0571" w:rsidRPr="00746871">
        <w:rPr>
          <w:rFonts w:hint="eastAsia"/>
        </w:rPr>
        <w:t>及与以往年份是否一致；确认每一个排放设施的基本信息，包括设施名称、型号和物理位置是否与现场一致；</w:t>
      </w:r>
    </w:p>
    <w:p w14:paraId="3B7AFD74" w14:textId="77777777" w:rsidR="00677A91" w:rsidRPr="00746871" w:rsidRDefault="007B5083" w:rsidP="000524A2">
      <w:pPr>
        <w:pStyle w:val="afa"/>
        <w:numPr>
          <w:ilvl w:val="0"/>
          <w:numId w:val="20"/>
        </w:numPr>
        <w:ind w:left="840" w:firstLineChars="0"/>
      </w:pPr>
      <w:r w:rsidRPr="00746871">
        <w:rPr>
          <w:rFonts w:hint="eastAsia"/>
        </w:rPr>
        <w:t>现场观察并查阅设备采购安装记录，固定资产设备处置记录等资料，对新增设施及既有设施退出产生的边界变化进行核查，核实企业是否存在新增排放设施，替代既有设施的新增排放设施或既有设施退出的情况；并在核查报告排放设施清单中对设施的编号进行说明。</w:t>
      </w:r>
    </w:p>
    <w:p w14:paraId="785A18B0" w14:textId="77777777" w:rsidR="007668F0" w:rsidRPr="00746871" w:rsidRDefault="007668F0" w:rsidP="00A30A07">
      <w:pPr>
        <w:pStyle w:val="a9"/>
        <w:spacing w:beforeLines="50" w:before="156" w:afterLines="50" w:after="156"/>
        <w:ind w:firstLineChars="0" w:firstLine="0"/>
        <w:outlineLvl w:val="3"/>
        <w:rPr>
          <w:rFonts w:ascii="黑体" w:eastAsia="黑体" w:hAnsi="黑体" w:cstheme="majorBidi"/>
          <w:bCs/>
          <w:szCs w:val="28"/>
        </w:rPr>
      </w:pPr>
      <w:r w:rsidRPr="00746871">
        <w:rPr>
          <w:rFonts w:ascii="黑体" w:eastAsia="黑体" w:hAnsi="黑体" w:cstheme="majorBidi" w:hint="eastAsia"/>
          <w:bCs/>
          <w:szCs w:val="28"/>
        </w:rPr>
        <w:t>7</w:t>
      </w:r>
      <w:r w:rsidRPr="00746871">
        <w:rPr>
          <w:rFonts w:ascii="黑体" w:eastAsia="黑体" w:hAnsi="黑体" w:cstheme="majorBidi"/>
          <w:bCs/>
          <w:szCs w:val="28"/>
        </w:rPr>
        <w:t xml:space="preserve">.2.3 </w:t>
      </w:r>
      <w:r w:rsidRPr="00746871">
        <w:rPr>
          <w:rFonts w:ascii="黑体" w:eastAsia="黑体" w:hAnsi="黑体" w:cstheme="majorBidi" w:hint="eastAsia"/>
          <w:bCs/>
          <w:szCs w:val="28"/>
        </w:rPr>
        <w:t>排放源识别的核查</w:t>
      </w:r>
    </w:p>
    <w:p w14:paraId="33721811" w14:textId="77777777" w:rsidR="007668F0" w:rsidRPr="00746871" w:rsidRDefault="007668F0" w:rsidP="007668F0">
      <w:pPr>
        <w:ind w:firstLine="420"/>
      </w:pPr>
      <w:r w:rsidRPr="00746871">
        <w:rPr>
          <w:rFonts w:hint="eastAsia"/>
        </w:rPr>
        <w:t>核查员应对企业提交的温室气体排放报告中所识别的排放设施进行现场确认，并对其所对应的排放源进行识别，并通过对相关人员访谈，确认排放源的完整性和准确性。</w:t>
      </w:r>
    </w:p>
    <w:p w14:paraId="3B120F08" w14:textId="77777777" w:rsidR="007668F0" w:rsidRPr="00746871" w:rsidRDefault="007668F0" w:rsidP="007668F0">
      <w:pPr>
        <w:ind w:firstLine="420"/>
      </w:pPr>
      <w:r w:rsidRPr="00746871">
        <w:rPr>
          <w:rFonts w:hint="eastAsia"/>
        </w:rPr>
        <w:t>核查要点如下</w:t>
      </w:r>
      <w:r w:rsidRPr="00746871">
        <w:rPr>
          <w:rFonts w:hint="eastAsia"/>
        </w:rPr>
        <w:t>:</w:t>
      </w:r>
    </w:p>
    <w:p w14:paraId="3ED76AFE" w14:textId="0F2F4158" w:rsidR="007668F0" w:rsidRPr="00746871" w:rsidRDefault="0094098D" w:rsidP="00EF50E2">
      <w:pPr>
        <w:pStyle w:val="afa"/>
        <w:numPr>
          <w:ilvl w:val="0"/>
          <w:numId w:val="43"/>
        </w:numPr>
        <w:ind w:firstLineChars="0"/>
      </w:pPr>
      <w:r w:rsidRPr="00746871">
        <w:rPr>
          <w:rFonts w:hint="eastAsia"/>
        </w:rPr>
        <w:t>确认报告</w:t>
      </w:r>
      <w:r w:rsidRPr="00746871">
        <w:t>主体</w:t>
      </w:r>
      <w:r w:rsidR="007668F0" w:rsidRPr="00746871">
        <w:rPr>
          <w:rFonts w:hint="eastAsia"/>
        </w:rPr>
        <w:t>化石燃料</w:t>
      </w:r>
      <w:r w:rsidRPr="00746871">
        <w:rPr>
          <w:rFonts w:hint="eastAsia"/>
        </w:rPr>
        <w:t>的消耗量</w:t>
      </w:r>
      <w:r w:rsidR="007668F0" w:rsidRPr="00746871">
        <w:rPr>
          <w:rFonts w:hint="eastAsia"/>
        </w:rPr>
        <w:t>。核查员通过查阅能源统计表、能源利用状况报告等文件资料辅助识别报告主体所</w:t>
      </w:r>
      <w:r w:rsidR="00B73153" w:rsidRPr="00746871">
        <w:rPr>
          <w:rFonts w:hint="eastAsia"/>
        </w:rPr>
        <w:t>使用</w:t>
      </w:r>
      <w:r w:rsidR="007668F0" w:rsidRPr="00746871">
        <w:rPr>
          <w:rFonts w:hint="eastAsia"/>
        </w:rPr>
        <w:t>的化石燃料类别；并通过现场访问，</w:t>
      </w:r>
      <w:r w:rsidR="00B73153" w:rsidRPr="00746871">
        <w:rPr>
          <w:rFonts w:hint="eastAsia"/>
        </w:rPr>
        <w:t>最终确认</w:t>
      </w:r>
      <w:r w:rsidR="007668F0" w:rsidRPr="00746871">
        <w:rPr>
          <w:rFonts w:hint="eastAsia"/>
        </w:rPr>
        <w:t>生产系统固定设施（包括锅炉等）及移动设施（铲车、叉车等厂区运输车辆）消耗的化石燃料</w:t>
      </w:r>
      <w:r w:rsidR="00042744" w:rsidRPr="00746871">
        <w:rPr>
          <w:rFonts w:hint="eastAsia"/>
        </w:rPr>
        <w:t>类别及消耗量</w:t>
      </w:r>
      <w:r w:rsidR="007668F0" w:rsidRPr="00746871">
        <w:rPr>
          <w:rFonts w:hint="eastAsia"/>
        </w:rPr>
        <w:t>。</w:t>
      </w:r>
    </w:p>
    <w:p w14:paraId="693057E1" w14:textId="22EA8252" w:rsidR="007668F0" w:rsidRPr="00746871" w:rsidRDefault="007668F0" w:rsidP="00EF50E2">
      <w:pPr>
        <w:pStyle w:val="afa"/>
        <w:numPr>
          <w:ilvl w:val="0"/>
          <w:numId w:val="43"/>
        </w:numPr>
        <w:ind w:left="840" w:firstLineChars="0"/>
      </w:pPr>
      <w:r w:rsidRPr="00746871">
        <w:rPr>
          <w:rFonts w:hint="eastAsia"/>
        </w:rPr>
        <w:t>确认</w:t>
      </w:r>
      <w:r w:rsidR="0094098D" w:rsidRPr="00746871">
        <w:rPr>
          <w:rFonts w:hint="eastAsia"/>
        </w:rPr>
        <w:t>报告主体</w:t>
      </w:r>
      <w:r w:rsidRPr="00746871">
        <w:rPr>
          <w:rFonts w:hint="eastAsia"/>
        </w:rPr>
        <w:t>购入电力</w:t>
      </w:r>
      <w:r w:rsidR="0094098D" w:rsidRPr="00746871">
        <w:rPr>
          <w:rFonts w:hint="eastAsia"/>
        </w:rPr>
        <w:t>量</w:t>
      </w:r>
      <w:r w:rsidRPr="00746871">
        <w:rPr>
          <w:rFonts w:hint="eastAsia"/>
        </w:rPr>
        <w:t>。报告主体购入的电力是指从供电公司购买的电量扣除转供其他企业的电量</w:t>
      </w:r>
      <w:r w:rsidR="00DC0A89" w:rsidRPr="00746871">
        <w:rPr>
          <w:rFonts w:hint="eastAsia"/>
        </w:rPr>
        <w:t>。</w:t>
      </w:r>
    </w:p>
    <w:p w14:paraId="7EA8491F" w14:textId="199643DB" w:rsidR="007668F0" w:rsidRPr="00746871" w:rsidRDefault="007668F0" w:rsidP="00EF50E2">
      <w:pPr>
        <w:pStyle w:val="afa"/>
        <w:numPr>
          <w:ilvl w:val="0"/>
          <w:numId w:val="43"/>
        </w:numPr>
        <w:ind w:left="840" w:firstLineChars="0"/>
      </w:pPr>
      <w:r w:rsidRPr="00746871">
        <w:rPr>
          <w:rFonts w:hint="eastAsia"/>
        </w:rPr>
        <w:t>确认</w:t>
      </w:r>
      <w:r w:rsidR="0094098D" w:rsidRPr="00746871">
        <w:rPr>
          <w:rFonts w:hint="eastAsia"/>
        </w:rPr>
        <w:t>报告主体</w:t>
      </w:r>
      <w:r w:rsidRPr="00746871">
        <w:rPr>
          <w:rFonts w:hint="eastAsia"/>
        </w:rPr>
        <w:t>购入热力</w:t>
      </w:r>
      <w:r w:rsidR="0094098D" w:rsidRPr="00746871">
        <w:rPr>
          <w:rFonts w:hint="eastAsia"/>
        </w:rPr>
        <w:t>量</w:t>
      </w:r>
      <w:r w:rsidRPr="00746871">
        <w:rPr>
          <w:rFonts w:hint="eastAsia"/>
        </w:rPr>
        <w:t>。报告主体购入的热力是指从热力公司购买的热量扣除转供其他企业的热量</w:t>
      </w:r>
    </w:p>
    <w:p w14:paraId="190A2A2B" w14:textId="7CAFF072" w:rsidR="007668F0" w:rsidRPr="00746871" w:rsidRDefault="007668F0" w:rsidP="00A30A07">
      <w:pPr>
        <w:pStyle w:val="a9"/>
        <w:spacing w:beforeLines="50" w:before="156" w:afterLines="50" w:after="156"/>
        <w:ind w:firstLineChars="0" w:firstLine="0"/>
        <w:outlineLvl w:val="3"/>
        <w:rPr>
          <w:rFonts w:ascii="黑体" w:eastAsia="黑体" w:hAnsi="黑体" w:cstheme="majorBidi"/>
          <w:bCs/>
          <w:szCs w:val="28"/>
        </w:rPr>
      </w:pPr>
      <w:r w:rsidRPr="00746871">
        <w:rPr>
          <w:rFonts w:ascii="黑体" w:eastAsia="黑体" w:hAnsi="黑体" w:cstheme="majorBidi" w:hint="eastAsia"/>
          <w:bCs/>
          <w:szCs w:val="28"/>
        </w:rPr>
        <w:t>7</w:t>
      </w:r>
      <w:r w:rsidRPr="00746871">
        <w:rPr>
          <w:rFonts w:ascii="黑体" w:eastAsia="黑体" w:hAnsi="黑体" w:cstheme="majorBidi"/>
          <w:bCs/>
          <w:szCs w:val="28"/>
        </w:rPr>
        <w:t>.2.</w:t>
      </w:r>
      <w:r w:rsidR="009E4FF8" w:rsidRPr="00746871">
        <w:rPr>
          <w:rFonts w:ascii="黑体" w:eastAsia="黑体" w:hAnsi="黑体" w:cstheme="majorBidi"/>
          <w:bCs/>
          <w:szCs w:val="28"/>
        </w:rPr>
        <w:t>4</w:t>
      </w:r>
      <w:r w:rsidRPr="00746871">
        <w:rPr>
          <w:rFonts w:ascii="黑体" w:eastAsia="黑体" w:hAnsi="黑体" w:cstheme="majorBidi"/>
          <w:bCs/>
          <w:szCs w:val="28"/>
        </w:rPr>
        <w:t xml:space="preserve"> </w:t>
      </w:r>
      <w:r w:rsidR="002F3300" w:rsidRPr="00746871">
        <w:rPr>
          <w:rFonts w:ascii="黑体" w:eastAsia="黑体" w:hAnsi="黑体" w:cstheme="majorBidi" w:hint="eastAsia"/>
          <w:bCs/>
          <w:szCs w:val="28"/>
        </w:rPr>
        <w:t>量化方法</w:t>
      </w:r>
      <w:r w:rsidR="00B525A0" w:rsidRPr="00746871">
        <w:rPr>
          <w:rFonts w:ascii="黑体" w:eastAsia="黑体" w:hAnsi="黑体" w:cstheme="majorBidi" w:hint="eastAsia"/>
          <w:bCs/>
          <w:szCs w:val="28"/>
        </w:rPr>
        <w:t>的核查</w:t>
      </w:r>
    </w:p>
    <w:p w14:paraId="04A83908" w14:textId="1B5A3AC9" w:rsidR="002F3300" w:rsidRPr="00746871" w:rsidRDefault="002F3300" w:rsidP="00B901E0">
      <w:pPr>
        <w:ind w:firstLine="420"/>
      </w:pPr>
      <w:r w:rsidRPr="00746871">
        <w:rPr>
          <w:rFonts w:hint="eastAsia"/>
        </w:rPr>
        <w:t>量化方法的核查是确认采用的核算方法与核算依据的符合性，可通过计算结果的可再现性进行验证。对于量化方法与核算依据存在偏移的</w:t>
      </w:r>
      <w:r w:rsidR="004B1BAC" w:rsidRPr="00746871">
        <w:rPr>
          <w:rFonts w:hint="eastAsia"/>
        </w:rPr>
        <w:t>情况，核查员需首先判断偏移的原因及偏移方法的合理性，然后对量化结果的再现性进行验证。</w:t>
      </w:r>
    </w:p>
    <w:p w14:paraId="3D2F018F" w14:textId="186A11FF" w:rsidR="003638A7" w:rsidRPr="00746871" w:rsidRDefault="009E4FF8" w:rsidP="00A30A07">
      <w:pPr>
        <w:pStyle w:val="a9"/>
        <w:spacing w:beforeLines="50" w:before="156" w:afterLines="50" w:after="156"/>
        <w:ind w:firstLineChars="0" w:firstLine="0"/>
        <w:outlineLvl w:val="3"/>
        <w:rPr>
          <w:rFonts w:ascii="黑体" w:eastAsia="黑体" w:hAnsi="黑体" w:cstheme="majorBidi"/>
          <w:bCs/>
          <w:szCs w:val="28"/>
        </w:rPr>
      </w:pPr>
      <w:r w:rsidRPr="00746871">
        <w:rPr>
          <w:rFonts w:ascii="黑体" w:eastAsia="黑体" w:hAnsi="黑体" w:cstheme="majorBidi" w:hint="eastAsia"/>
          <w:bCs/>
          <w:szCs w:val="28"/>
        </w:rPr>
        <w:t>7</w:t>
      </w:r>
      <w:r w:rsidRPr="00746871">
        <w:rPr>
          <w:rFonts w:ascii="黑体" w:eastAsia="黑体" w:hAnsi="黑体" w:cstheme="majorBidi"/>
          <w:bCs/>
          <w:szCs w:val="28"/>
        </w:rPr>
        <w:t>.2.</w:t>
      </w:r>
      <w:r w:rsidR="00E96EE8" w:rsidRPr="00746871">
        <w:rPr>
          <w:rFonts w:ascii="黑体" w:eastAsia="黑体" w:hAnsi="黑体" w:cstheme="majorBidi"/>
          <w:bCs/>
          <w:szCs w:val="28"/>
        </w:rPr>
        <w:t>5</w:t>
      </w:r>
      <w:r w:rsidRPr="00746871">
        <w:rPr>
          <w:rFonts w:ascii="黑体" w:eastAsia="黑体" w:hAnsi="黑体" w:cstheme="majorBidi"/>
          <w:bCs/>
          <w:szCs w:val="28"/>
        </w:rPr>
        <w:t xml:space="preserve"> </w:t>
      </w:r>
      <w:r w:rsidRPr="00746871">
        <w:rPr>
          <w:rFonts w:ascii="黑体" w:eastAsia="黑体" w:hAnsi="黑体" w:cstheme="majorBidi" w:hint="eastAsia"/>
          <w:bCs/>
          <w:szCs w:val="28"/>
        </w:rPr>
        <w:t>数据的核查</w:t>
      </w:r>
    </w:p>
    <w:p w14:paraId="4F5BA0F7" w14:textId="77777777" w:rsidR="009E4FF8" w:rsidRPr="00746871" w:rsidRDefault="00B16996" w:rsidP="00A3772D">
      <w:pPr>
        <w:pStyle w:val="5"/>
        <w:ind w:firstLineChars="0" w:firstLine="0"/>
      </w:pPr>
      <w:r w:rsidRPr="00746871">
        <w:rPr>
          <w:rFonts w:hint="eastAsia"/>
        </w:rPr>
        <w:t>7</w:t>
      </w:r>
      <w:r w:rsidRPr="00746871">
        <w:t xml:space="preserve">.2.5.1 </w:t>
      </w:r>
      <w:r w:rsidRPr="00746871">
        <w:rPr>
          <w:rFonts w:hint="eastAsia"/>
        </w:rPr>
        <w:t>总则</w:t>
      </w:r>
    </w:p>
    <w:p w14:paraId="093B11A7" w14:textId="207139B9" w:rsidR="00BA0470" w:rsidRPr="00746871" w:rsidRDefault="00BA0470" w:rsidP="00BA0470">
      <w:pPr>
        <w:ind w:firstLine="420"/>
      </w:pPr>
      <w:r w:rsidRPr="00746871">
        <w:rPr>
          <w:rFonts w:hint="eastAsia"/>
        </w:rPr>
        <w:t>核查企业报告中碳排放源活动数据的准确性，主要针对活动数据是否有原始记录、活动数据的统计方法是否正确、活动数据能否覆盖完整统计报告期等方面进行核查，对于关键的活动数据要采取多种证据交叉验证的方法进行核实。</w:t>
      </w:r>
    </w:p>
    <w:p w14:paraId="32C02102" w14:textId="7788AE53" w:rsidR="004D621F" w:rsidRPr="00746871" w:rsidRDefault="004D621F" w:rsidP="00A3772D">
      <w:pPr>
        <w:pStyle w:val="5"/>
        <w:ind w:firstLineChars="0" w:firstLine="0"/>
      </w:pPr>
      <w:r w:rsidRPr="00746871">
        <w:rPr>
          <w:rFonts w:hint="eastAsia"/>
        </w:rPr>
        <w:lastRenderedPageBreak/>
        <w:t>7</w:t>
      </w:r>
      <w:r w:rsidRPr="00746871">
        <w:t xml:space="preserve">.2.5.2 </w:t>
      </w:r>
      <w:r w:rsidRPr="00746871">
        <w:rPr>
          <w:rFonts w:hint="eastAsia"/>
        </w:rPr>
        <w:t>核算方法</w:t>
      </w:r>
    </w:p>
    <w:p w14:paraId="51949D23" w14:textId="38939CA6" w:rsidR="004D621F" w:rsidRPr="00746871" w:rsidRDefault="004B0C6D" w:rsidP="00B40BF7">
      <w:pPr>
        <w:ind w:firstLine="420"/>
        <w:outlineLvl w:val="5"/>
      </w:pPr>
      <w:r w:rsidRPr="00746871">
        <w:rPr>
          <w:rFonts w:hint="eastAsia"/>
        </w:rPr>
        <w:t>a</w:t>
      </w:r>
      <w:r w:rsidRPr="00746871">
        <w:rPr>
          <w:rFonts w:hint="eastAsia"/>
        </w:rPr>
        <w:t>）</w:t>
      </w:r>
      <w:r w:rsidR="004D621F" w:rsidRPr="00746871">
        <w:rPr>
          <w:rFonts w:hint="eastAsia"/>
        </w:rPr>
        <w:t>排放总量</w:t>
      </w:r>
    </w:p>
    <w:p w14:paraId="03A2063E" w14:textId="77777777" w:rsidR="004D621F" w:rsidRPr="00746871" w:rsidRDefault="004D621F" w:rsidP="004D621F">
      <w:pPr>
        <w:ind w:firstLine="420"/>
      </w:pPr>
      <w:r w:rsidRPr="00746871">
        <w:rPr>
          <w:rFonts w:hint="eastAsia"/>
        </w:rPr>
        <w:t>预拌混凝土企业的全部排放包括化石燃料燃烧产生的二氧化碳排放、企业购入使用电力和热力对应的二氧化碳排放，按式（</w:t>
      </w:r>
      <w:r w:rsidRPr="00746871">
        <w:rPr>
          <w:rFonts w:hint="eastAsia"/>
        </w:rPr>
        <w:t>1</w:t>
      </w:r>
      <w:r w:rsidRPr="00746871">
        <w:rPr>
          <w:rFonts w:hint="eastAsia"/>
        </w:rPr>
        <w:t>）计算。</w:t>
      </w:r>
    </w:p>
    <w:p w14:paraId="79D639DC" w14:textId="3989C38A" w:rsidR="004D621F" w:rsidRPr="00746871" w:rsidRDefault="004D621F" w:rsidP="004D621F">
      <w:pPr>
        <w:ind w:firstLine="420"/>
        <w:jc w:val="center"/>
      </w:pPr>
      <w:r w:rsidRPr="00746871">
        <w:t xml:space="preserve">                  </w:t>
      </w:r>
      <w:r w:rsidRPr="00746871">
        <w:rPr>
          <w:rFonts w:hint="eastAsia"/>
        </w:rPr>
        <w:t>E=</w:t>
      </w:r>
      <w:r w:rsidRPr="00746871">
        <w:t>E</w:t>
      </w:r>
      <w:r w:rsidR="004F2F41" w:rsidRPr="004F2F41">
        <w:rPr>
          <w:vertAlign w:val="subscript"/>
        </w:rPr>
        <w:t>CO2,</w:t>
      </w:r>
      <w:r w:rsidRPr="00746871">
        <w:rPr>
          <w:rFonts w:hint="eastAsia"/>
          <w:vertAlign w:val="subscript"/>
        </w:rPr>
        <w:t>燃烧</w:t>
      </w:r>
      <w:r w:rsidRPr="00746871">
        <w:rPr>
          <w:rFonts w:hint="eastAsia"/>
        </w:rPr>
        <w:t>+</w:t>
      </w:r>
      <w:r w:rsidRPr="00746871">
        <w:t>E</w:t>
      </w:r>
      <w:r w:rsidR="00F1119F" w:rsidRPr="007D694B">
        <w:rPr>
          <w:vertAlign w:val="subscript"/>
        </w:rPr>
        <w:t>CO2,</w:t>
      </w:r>
      <w:r w:rsidR="00F1119F" w:rsidRPr="007D694B">
        <w:rPr>
          <w:rFonts w:hint="eastAsia"/>
          <w:vertAlign w:val="subscript"/>
        </w:rPr>
        <w:t>净电</w:t>
      </w:r>
      <w:r w:rsidR="00F1119F" w:rsidRPr="00746871">
        <w:rPr>
          <w:rFonts w:hint="eastAsia"/>
        </w:rPr>
        <w:t xml:space="preserve"> </w:t>
      </w:r>
      <w:r w:rsidRPr="00746871">
        <w:rPr>
          <w:rFonts w:hint="eastAsia"/>
        </w:rPr>
        <w:t>+</w:t>
      </w:r>
      <w:r w:rsidRPr="00746871">
        <w:t>E</w:t>
      </w:r>
      <w:r w:rsidR="00F1119F">
        <w:rPr>
          <w:rFonts w:hint="eastAsia"/>
          <w:vertAlign w:val="subscript"/>
        </w:rPr>
        <w:t>C</w:t>
      </w:r>
      <w:r w:rsidR="00F1119F">
        <w:rPr>
          <w:vertAlign w:val="subscript"/>
        </w:rPr>
        <w:t>O2,</w:t>
      </w:r>
      <w:r w:rsidR="00F1119F">
        <w:rPr>
          <w:rFonts w:hint="eastAsia"/>
          <w:vertAlign w:val="subscript"/>
        </w:rPr>
        <w:t>净热</w:t>
      </w:r>
      <w:r w:rsidRPr="00746871">
        <w:t xml:space="preserve">              </w:t>
      </w:r>
      <w:r w:rsidRPr="00746871">
        <w:rPr>
          <w:rFonts w:hint="eastAsia"/>
        </w:rPr>
        <w:t>（</w:t>
      </w:r>
      <w:r w:rsidRPr="00746871">
        <w:rPr>
          <w:rFonts w:hint="eastAsia"/>
        </w:rPr>
        <w:t>1</w:t>
      </w:r>
      <w:r w:rsidRPr="00746871">
        <w:rPr>
          <w:rFonts w:hint="eastAsia"/>
        </w:rPr>
        <w:t>）</w:t>
      </w:r>
    </w:p>
    <w:p w14:paraId="57E83E11" w14:textId="5C1ACC78" w:rsidR="004D621F" w:rsidRPr="00746871" w:rsidRDefault="004D621F" w:rsidP="004D621F">
      <w:pPr>
        <w:ind w:firstLine="420"/>
      </w:pPr>
      <w:r w:rsidRPr="00746871">
        <w:rPr>
          <w:rFonts w:hint="eastAsia"/>
        </w:rPr>
        <w:t>式中：</w:t>
      </w:r>
    </w:p>
    <w:tbl>
      <w:tblPr>
        <w:tblW w:w="0" w:type="auto"/>
        <w:jc w:val="right"/>
        <w:tblLook w:val="04A0" w:firstRow="1" w:lastRow="0" w:firstColumn="1" w:lastColumn="0" w:noHBand="0" w:noVBand="1"/>
      </w:tblPr>
      <w:tblGrid>
        <w:gridCol w:w="1003"/>
        <w:gridCol w:w="709"/>
        <w:gridCol w:w="7371"/>
      </w:tblGrid>
      <w:tr w:rsidR="004D621F" w:rsidRPr="00746871" w14:paraId="74563534" w14:textId="77777777" w:rsidTr="00B8292E">
        <w:trPr>
          <w:jc w:val="right"/>
        </w:trPr>
        <w:tc>
          <w:tcPr>
            <w:tcW w:w="1003" w:type="dxa"/>
            <w:shd w:val="clear" w:color="auto" w:fill="auto"/>
          </w:tcPr>
          <w:p w14:paraId="6BCC0522" w14:textId="77777777" w:rsidR="004D621F" w:rsidRPr="00746871" w:rsidRDefault="004D621F" w:rsidP="00B40BF7">
            <w:pPr>
              <w:ind w:firstLineChars="0" w:firstLine="0"/>
              <w:rPr>
                <w:rFonts w:ascii="宋体"/>
                <w:szCs w:val="21"/>
              </w:rPr>
            </w:pPr>
            <w:r w:rsidRPr="00746871">
              <w:rPr>
                <w:rFonts w:ascii="宋体" w:hint="eastAsia"/>
                <w:szCs w:val="21"/>
              </w:rPr>
              <w:t>E</w:t>
            </w:r>
          </w:p>
        </w:tc>
        <w:tc>
          <w:tcPr>
            <w:tcW w:w="709" w:type="dxa"/>
          </w:tcPr>
          <w:p w14:paraId="0CEDD64D" w14:textId="77777777" w:rsidR="004D621F" w:rsidRPr="00746871" w:rsidRDefault="004D621F" w:rsidP="0086359C">
            <w:pPr>
              <w:ind w:firstLineChars="0" w:firstLine="0"/>
              <w:jc w:val="left"/>
              <w:rPr>
                <w:rFonts w:ascii="宋体"/>
                <w:szCs w:val="21"/>
              </w:rPr>
            </w:pPr>
            <w:r w:rsidRPr="00746871">
              <w:rPr>
                <w:rFonts w:ascii="宋体" w:hint="eastAsia"/>
                <w:szCs w:val="21"/>
              </w:rPr>
              <w:t>——</w:t>
            </w:r>
          </w:p>
        </w:tc>
        <w:tc>
          <w:tcPr>
            <w:tcW w:w="7371" w:type="dxa"/>
            <w:shd w:val="clear" w:color="auto" w:fill="auto"/>
          </w:tcPr>
          <w:p w14:paraId="1B42FFA6" w14:textId="77777777" w:rsidR="004D621F" w:rsidRPr="00746871" w:rsidRDefault="004D621F" w:rsidP="00B40BF7">
            <w:pPr>
              <w:ind w:firstLineChars="0" w:firstLine="0"/>
              <w:rPr>
                <w:rFonts w:ascii="宋体"/>
                <w:szCs w:val="21"/>
              </w:rPr>
            </w:pPr>
            <w:r w:rsidRPr="00746871">
              <w:rPr>
                <w:rFonts w:ascii="宋体" w:hint="eastAsia"/>
                <w:szCs w:val="21"/>
              </w:rPr>
              <w:t>报告主体的二氧化碳排放总量，单位为吨二氧化碳（t</w:t>
            </w:r>
            <w:r w:rsidRPr="00746871">
              <w:rPr>
                <w:rFonts w:ascii="宋体"/>
                <w:szCs w:val="21"/>
              </w:rPr>
              <w:t>CO</w:t>
            </w:r>
            <w:r w:rsidRPr="00746871">
              <w:rPr>
                <w:rFonts w:ascii="宋体"/>
                <w:szCs w:val="21"/>
                <w:vertAlign w:val="subscript"/>
              </w:rPr>
              <w:t>2</w:t>
            </w:r>
            <w:r w:rsidRPr="00746871">
              <w:rPr>
                <w:rFonts w:ascii="宋体" w:hint="eastAsia"/>
                <w:szCs w:val="21"/>
              </w:rPr>
              <w:t>）</w:t>
            </w:r>
          </w:p>
        </w:tc>
      </w:tr>
      <w:tr w:rsidR="004D621F" w:rsidRPr="00746871" w14:paraId="2AD63F1F" w14:textId="77777777" w:rsidTr="00B8292E">
        <w:trPr>
          <w:jc w:val="right"/>
        </w:trPr>
        <w:tc>
          <w:tcPr>
            <w:tcW w:w="1003" w:type="dxa"/>
            <w:shd w:val="clear" w:color="auto" w:fill="auto"/>
          </w:tcPr>
          <w:p w14:paraId="2A440B0C" w14:textId="0FDE1252" w:rsidR="004D621F" w:rsidRPr="00746871" w:rsidRDefault="004F2F41" w:rsidP="00B40BF7">
            <w:pPr>
              <w:ind w:firstLineChars="0" w:firstLine="0"/>
              <w:rPr>
                <w:rFonts w:ascii="宋体"/>
                <w:szCs w:val="21"/>
              </w:rPr>
            </w:pPr>
            <w:r w:rsidRPr="00746871">
              <w:t>E</w:t>
            </w:r>
            <w:r w:rsidRPr="004F2F41">
              <w:rPr>
                <w:vertAlign w:val="subscript"/>
              </w:rPr>
              <w:t>CO2,</w:t>
            </w:r>
            <w:r w:rsidRPr="00746871">
              <w:rPr>
                <w:rFonts w:hint="eastAsia"/>
                <w:vertAlign w:val="subscript"/>
              </w:rPr>
              <w:t>燃烧</w:t>
            </w:r>
          </w:p>
        </w:tc>
        <w:tc>
          <w:tcPr>
            <w:tcW w:w="709" w:type="dxa"/>
          </w:tcPr>
          <w:p w14:paraId="0F688848" w14:textId="77777777" w:rsidR="004D621F" w:rsidRPr="00746871" w:rsidRDefault="004D621F" w:rsidP="0086359C">
            <w:pPr>
              <w:ind w:firstLineChars="0" w:firstLine="0"/>
              <w:jc w:val="left"/>
              <w:rPr>
                <w:rFonts w:ascii="宋体"/>
                <w:szCs w:val="21"/>
              </w:rPr>
            </w:pPr>
            <w:r w:rsidRPr="00746871">
              <w:rPr>
                <w:rFonts w:ascii="宋体" w:hint="eastAsia"/>
                <w:szCs w:val="21"/>
              </w:rPr>
              <w:t>——</w:t>
            </w:r>
          </w:p>
        </w:tc>
        <w:tc>
          <w:tcPr>
            <w:tcW w:w="7371" w:type="dxa"/>
            <w:shd w:val="clear" w:color="auto" w:fill="auto"/>
          </w:tcPr>
          <w:p w14:paraId="3840D91F" w14:textId="77777777" w:rsidR="004D621F" w:rsidRPr="00746871" w:rsidRDefault="004D621F" w:rsidP="00B40BF7">
            <w:pPr>
              <w:ind w:firstLineChars="0" w:firstLine="0"/>
              <w:rPr>
                <w:rFonts w:ascii="宋体"/>
                <w:szCs w:val="21"/>
              </w:rPr>
            </w:pPr>
            <w:r w:rsidRPr="00746871">
              <w:rPr>
                <w:rFonts w:ascii="宋体" w:hint="eastAsia"/>
                <w:szCs w:val="21"/>
              </w:rPr>
              <w:t>报告主体的化石燃料燃烧排放量，单位为吨二氧化碳（t</w:t>
            </w:r>
            <w:r w:rsidRPr="00746871">
              <w:rPr>
                <w:rFonts w:ascii="宋体"/>
                <w:szCs w:val="21"/>
              </w:rPr>
              <w:t>CO</w:t>
            </w:r>
            <w:r w:rsidRPr="00746871">
              <w:rPr>
                <w:rFonts w:ascii="宋体"/>
                <w:szCs w:val="21"/>
                <w:vertAlign w:val="subscript"/>
              </w:rPr>
              <w:t>2</w:t>
            </w:r>
            <w:r w:rsidRPr="00746871">
              <w:rPr>
                <w:rFonts w:ascii="宋体" w:hint="eastAsia"/>
                <w:szCs w:val="21"/>
              </w:rPr>
              <w:t>）</w:t>
            </w:r>
          </w:p>
        </w:tc>
      </w:tr>
      <w:tr w:rsidR="004D621F" w:rsidRPr="00746871" w14:paraId="157CBE7B" w14:textId="77777777" w:rsidTr="00B8292E">
        <w:trPr>
          <w:jc w:val="right"/>
        </w:trPr>
        <w:tc>
          <w:tcPr>
            <w:tcW w:w="1003" w:type="dxa"/>
            <w:shd w:val="clear" w:color="auto" w:fill="auto"/>
          </w:tcPr>
          <w:p w14:paraId="78405F53" w14:textId="1656810F" w:rsidR="004D621F" w:rsidRPr="00746871" w:rsidRDefault="007D694B" w:rsidP="00B40BF7">
            <w:pPr>
              <w:ind w:firstLineChars="0" w:firstLine="0"/>
              <w:rPr>
                <w:rFonts w:ascii="宋体"/>
                <w:szCs w:val="21"/>
              </w:rPr>
            </w:pPr>
            <w:r w:rsidRPr="00746871">
              <w:t>E</w:t>
            </w:r>
            <w:r w:rsidRPr="007D694B">
              <w:rPr>
                <w:vertAlign w:val="subscript"/>
              </w:rPr>
              <w:t>CO2,</w:t>
            </w:r>
            <w:r w:rsidRPr="007D694B">
              <w:rPr>
                <w:rFonts w:hint="eastAsia"/>
                <w:vertAlign w:val="subscript"/>
              </w:rPr>
              <w:t>净电</w:t>
            </w:r>
          </w:p>
        </w:tc>
        <w:tc>
          <w:tcPr>
            <w:tcW w:w="709" w:type="dxa"/>
          </w:tcPr>
          <w:p w14:paraId="5895F5E7" w14:textId="77777777" w:rsidR="004D621F" w:rsidRPr="00746871" w:rsidRDefault="004D621F" w:rsidP="0086359C">
            <w:pPr>
              <w:ind w:firstLineChars="0" w:firstLine="0"/>
              <w:jc w:val="left"/>
              <w:rPr>
                <w:rFonts w:ascii="宋体"/>
                <w:szCs w:val="21"/>
              </w:rPr>
            </w:pPr>
            <w:r w:rsidRPr="00746871">
              <w:rPr>
                <w:rFonts w:ascii="宋体" w:hint="eastAsia"/>
                <w:szCs w:val="21"/>
              </w:rPr>
              <w:t>——</w:t>
            </w:r>
          </w:p>
        </w:tc>
        <w:tc>
          <w:tcPr>
            <w:tcW w:w="7371" w:type="dxa"/>
            <w:shd w:val="clear" w:color="auto" w:fill="auto"/>
          </w:tcPr>
          <w:p w14:paraId="0C077769" w14:textId="77777777" w:rsidR="004D621F" w:rsidRPr="00746871" w:rsidRDefault="004D621F" w:rsidP="00B40BF7">
            <w:pPr>
              <w:ind w:firstLineChars="0" w:firstLine="0"/>
              <w:rPr>
                <w:rFonts w:ascii="宋体"/>
                <w:szCs w:val="21"/>
              </w:rPr>
            </w:pPr>
            <w:r w:rsidRPr="00746871">
              <w:rPr>
                <w:rFonts w:ascii="宋体" w:hint="eastAsia"/>
                <w:szCs w:val="21"/>
              </w:rPr>
              <w:t>企业购入的电力对应的排放量，单位为吨二氧化碳（t</w:t>
            </w:r>
            <w:r w:rsidRPr="00746871">
              <w:rPr>
                <w:rFonts w:ascii="宋体"/>
                <w:szCs w:val="21"/>
              </w:rPr>
              <w:t>CO</w:t>
            </w:r>
            <w:r w:rsidRPr="00746871">
              <w:rPr>
                <w:rFonts w:ascii="宋体"/>
                <w:szCs w:val="21"/>
                <w:vertAlign w:val="subscript"/>
              </w:rPr>
              <w:t>2</w:t>
            </w:r>
            <w:r w:rsidRPr="00746871">
              <w:rPr>
                <w:rFonts w:ascii="宋体" w:hint="eastAsia"/>
                <w:szCs w:val="21"/>
              </w:rPr>
              <w:t>）</w:t>
            </w:r>
          </w:p>
        </w:tc>
      </w:tr>
      <w:tr w:rsidR="004D621F" w:rsidRPr="00746871" w14:paraId="3BA64408" w14:textId="77777777" w:rsidTr="00B8292E">
        <w:trPr>
          <w:jc w:val="right"/>
        </w:trPr>
        <w:tc>
          <w:tcPr>
            <w:tcW w:w="1003" w:type="dxa"/>
            <w:shd w:val="clear" w:color="auto" w:fill="auto"/>
          </w:tcPr>
          <w:p w14:paraId="6DA42529" w14:textId="649FE7F2" w:rsidR="004D621F" w:rsidRPr="00746871" w:rsidRDefault="007D694B" w:rsidP="00B40BF7">
            <w:pPr>
              <w:ind w:firstLineChars="0" w:firstLine="0"/>
              <w:rPr>
                <w:rFonts w:ascii="宋体"/>
                <w:szCs w:val="21"/>
              </w:rPr>
            </w:pPr>
            <w:r w:rsidRPr="00746871">
              <w:t>E</w:t>
            </w:r>
            <w:r>
              <w:rPr>
                <w:rFonts w:hint="eastAsia"/>
                <w:vertAlign w:val="subscript"/>
              </w:rPr>
              <w:t>C</w:t>
            </w:r>
            <w:r>
              <w:rPr>
                <w:vertAlign w:val="subscript"/>
              </w:rPr>
              <w:t>O2,</w:t>
            </w:r>
            <w:r>
              <w:rPr>
                <w:rFonts w:hint="eastAsia"/>
                <w:vertAlign w:val="subscript"/>
              </w:rPr>
              <w:t>净热</w:t>
            </w:r>
          </w:p>
        </w:tc>
        <w:tc>
          <w:tcPr>
            <w:tcW w:w="709" w:type="dxa"/>
          </w:tcPr>
          <w:p w14:paraId="4D3283BD" w14:textId="77777777" w:rsidR="004D621F" w:rsidRPr="00746871" w:rsidRDefault="004D621F" w:rsidP="0086359C">
            <w:pPr>
              <w:ind w:firstLineChars="0" w:firstLine="0"/>
              <w:jc w:val="left"/>
              <w:rPr>
                <w:rFonts w:ascii="宋体"/>
                <w:szCs w:val="21"/>
              </w:rPr>
            </w:pPr>
            <w:r w:rsidRPr="00746871">
              <w:rPr>
                <w:rFonts w:ascii="宋体" w:hint="eastAsia"/>
                <w:szCs w:val="21"/>
              </w:rPr>
              <w:t>——</w:t>
            </w:r>
          </w:p>
        </w:tc>
        <w:tc>
          <w:tcPr>
            <w:tcW w:w="7371" w:type="dxa"/>
            <w:shd w:val="clear" w:color="auto" w:fill="auto"/>
          </w:tcPr>
          <w:p w14:paraId="25F4CE97" w14:textId="77777777" w:rsidR="004D621F" w:rsidRPr="00746871" w:rsidRDefault="004D621F" w:rsidP="00B40BF7">
            <w:pPr>
              <w:ind w:firstLineChars="0" w:firstLine="0"/>
              <w:rPr>
                <w:rFonts w:ascii="宋体"/>
                <w:szCs w:val="21"/>
              </w:rPr>
            </w:pPr>
            <w:r w:rsidRPr="00746871">
              <w:rPr>
                <w:rFonts w:ascii="宋体" w:hint="eastAsia"/>
                <w:szCs w:val="21"/>
              </w:rPr>
              <w:t>企业购入的热力对应的排放量，单位为吨二氧化碳（t</w:t>
            </w:r>
            <w:r w:rsidRPr="00746871">
              <w:rPr>
                <w:rFonts w:ascii="宋体"/>
                <w:szCs w:val="21"/>
              </w:rPr>
              <w:t>CO</w:t>
            </w:r>
            <w:r w:rsidRPr="00746871">
              <w:rPr>
                <w:rFonts w:ascii="宋体"/>
                <w:szCs w:val="21"/>
                <w:vertAlign w:val="subscript"/>
              </w:rPr>
              <w:t>2</w:t>
            </w:r>
            <w:r w:rsidRPr="00746871">
              <w:rPr>
                <w:rFonts w:ascii="宋体" w:hint="eastAsia"/>
                <w:szCs w:val="21"/>
              </w:rPr>
              <w:t>）</w:t>
            </w:r>
          </w:p>
        </w:tc>
      </w:tr>
    </w:tbl>
    <w:p w14:paraId="3A20F90D" w14:textId="7DD849B4" w:rsidR="00B16996" w:rsidRPr="00746871" w:rsidRDefault="004B0C6D" w:rsidP="00B40BF7">
      <w:pPr>
        <w:ind w:firstLine="420"/>
        <w:outlineLvl w:val="5"/>
      </w:pPr>
      <w:r w:rsidRPr="00746871">
        <w:t>b)</w:t>
      </w:r>
      <w:r w:rsidR="004D621F" w:rsidRPr="00746871">
        <w:t xml:space="preserve"> </w:t>
      </w:r>
      <w:r w:rsidR="00A62E2E" w:rsidRPr="00746871">
        <w:rPr>
          <w:rFonts w:hint="eastAsia"/>
        </w:rPr>
        <w:t>化石燃料燃烧</w:t>
      </w:r>
      <w:r w:rsidRPr="00746871">
        <w:rPr>
          <w:rFonts w:hint="eastAsia"/>
        </w:rPr>
        <w:t>产生</w:t>
      </w:r>
      <w:r w:rsidR="00A62E2E" w:rsidRPr="00746871">
        <w:rPr>
          <w:rFonts w:hint="eastAsia"/>
        </w:rPr>
        <w:t>排放</w:t>
      </w:r>
    </w:p>
    <w:p w14:paraId="7916C90F" w14:textId="473094D5" w:rsidR="000C5870" w:rsidRPr="00746871" w:rsidRDefault="000C5870" w:rsidP="00A62E2E">
      <w:pPr>
        <w:ind w:firstLine="420"/>
      </w:pPr>
      <w:r w:rsidRPr="00746871">
        <w:rPr>
          <w:rFonts w:hint="eastAsia"/>
        </w:rPr>
        <w:t>化石燃料燃烧产生的二氧化碳排放</w:t>
      </w:r>
      <w:r w:rsidR="00B862F3" w:rsidRPr="00746871">
        <w:rPr>
          <w:rFonts w:hint="eastAsia"/>
        </w:rPr>
        <w:t>量主要基于分品种的化石燃料燃烧量、单位燃料的含碳量和碳氧化率计算</w:t>
      </w:r>
      <w:r w:rsidR="00B01545" w:rsidRPr="00746871">
        <w:rPr>
          <w:rFonts w:hint="eastAsia"/>
        </w:rPr>
        <w:t>得到</w:t>
      </w:r>
      <w:r w:rsidRPr="00746871">
        <w:rPr>
          <w:rFonts w:hint="eastAsia"/>
        </w:rPr>
        <w:t>，按式（</w:t>
      </w:r>
      <w:r w:rsidRPr="00746871">
        <w:rPr>
          <w:rFonts w:hint="eastAsia"/>
        </w:rPr>
        <w:t>2</w:t>
      </w:r>
      <w:r w:rsidRPr="00746871">
        <w:rPr>
          <w:rFonts w:hint="eastAsia"/>
        </w:rPr>
        <w:t>）计算。</w:t>
      </w:r>
    </w:p>
    <w:p w14:paraId="72EDAF8D" w14:textId="47E9BFE6" w:rsidR="000A7912" w:rsidRPr="00746871" w:rsidRDefault="000A7912" w:rsidP="00B01545">
      <w:pPr>
        <w:ind w:firstLine="420"/>
        <w:jc w:val="center"/>
      </w:pPr>
    </w:p>
    <w:p w14:paraId="1C47021E" w14:textId="56529901" w:rsidR="009E49DE" w:rsidRPr="00746871" w:rsidRDefault="008A440C" w:rsidP="00DD494E">
      <w:pPr>
        <w:ind w:firstLine="420"/>
        <w:jc w:val="center"/>
      </w:pPr>
      <m:oMath>
        <m:sSub>
          <m:sSubPr>
            <m:ctrlPr>
              <w:rPr>
                <w:rFonts w:ascii="Cambria Math" w:hAnsi="Cambria Math"/>
                <w:iCs/>
              </w:rPr>
            </m:ctrlPr>
          </m:sSubPr>
          <m:e>
            <m:r>
              <m:rPr>
                <m:sty m:val="p"/>
              </m:rPr>
              <w:rPr>
                <w:rFonts w:ascii="Cambria Math" w:hAnsi="Cambria Math"/>
              </w:rPr>
              <m:t>E</m:t>
            </m:r>
          </m:e>
          <m:sub>
            <m:r>
              <m:rPr>
                <m:sty m:val="p"/>
              </m:rPr>
              <w:rPr>
                <w:rFonts w:ascii="Cambria Math" w:hAnsi="Cambria Math"/>
              </w:rPr>
              <m:t xml:space="preserve">CO2 </m:t>
            </m:r>
            <m:r>
              <m:rPr>
                <m:sty m:val="p"/>
              </m:rPr>
              <w:rPr>
                <w:rFonts w:ascii="Cambria Math" w:hAnsi="Cambria Math" w:hint="eastAsia"/>
              </w:rPr>
              <m:t>燃烧</m:t>
            </m:r>
          </m:sub>
        </m:sSub>
        <m:r>
          <w:rPr>
            <w:rFonts w:ascii="Cambria Math" w:eastAsia="微软雅黑" w:hAnsi="Cambria Math" w:cs="微软雅黑" w:hint="eastAsia"/>
          </w:rPr>
          <m:t>=</m:t>
        </m:r>
        <m:nary>
          <m:naryPr>
            <m:chr m:val="∑"/>
            <m:limLoc m:val="undOvr"/>
            <m:ctrlPr>
              <w:rPr>
                <w:rFonts w:ascii="Cambria Math" w:eastAsia="微软雅黑" w:hAnsi="Cambria Math" w:cs="微软雅黑"/>
                <w:iCs/>
              </w:rPr>
            </m:ctrlPr>
          </m:naryPr>
          <m:sub>
            <m:r>
              <m:rPr>
                <m:sty m:val="p"/>
              </m:rPr>
              <w:rPr>
                <w:rFonts w:ascii="Cambria Math" w:eastAsia="微软雅黑" w:hAnsi="Cambria Math" w:cs="微软雅黑" w:hint="eastAsia"/>
              </w:rPr>
              <m:t>i</m:t>
            </m:r>
          </m:sub>
          <m:sup>
            <m:r>
              <m:rPr>
                <m:sty m:val="p"/>
              </m:rPr>
              <w:rPr>
                <w:rFonts w:ascii="Cambria Math" w:eastAsia="微软雅黑" w:hAnsi="Cambria Math" w:cs="微软雅黑" w:hint="eastAsia"/>
              </w:rPr>
              <m:t>n</m:t>
            </m:r>
          </m:sup>
          <m:e>
            <m:r>
              <m:rPr>
                <m:sty m:val="p"/>
              </m:rPr>
              <w:rPr>
                <w:rFonts w:ascii="Cambria Math" w:eastAsia="微软雅黑" w:hAnsi="Cambria Math" w:cs="微软雅黑"/>
              </w:rPr>
              <m:t>(</m:t>
            </m:r>
            <m:sSub>
              <m:sSubPr>
                <m:ctrlPr>
                  <w:rPr>
                    <w:rFonts w:ascii="Cambria Math" w:eastAsia="微软雅黑" w:hAnsi="Cambria Math" w:cs="微软雅黑"/>
                    <w:iCs/>
                  </w:rPr>
                </m:ctrlPr>
              </m:sSubPr>
              <m:e>
                <m:r>
                  <m:rPr>
                    <m:sty m:val="p"/>
                  </m:rPr>
                  <w:rPr>
                    <w:rFonts w:ascii="Cambria Math" w:eastAsia="微软雅黑" w:hAnsi="Cambria Math" w:cs="微软雅黑"/>
                  </w:rPr>
                  <m:t>AD</m:t>
                </m:r>
              </m:e>
              <m:sub>
                <m:r>
                  <m:rPr>
                    <m:sty m:val="p"/>
                  </m:rPr>
                  <w:rPr>
                    <w:rFonts w:ascii="Cambria Math" w:eastAsia="微软雅黑" w:hAnsi="Cambria Math" w:cs="微软雅黑"/>
                  </w:rPr>
                  <m:t>i</m:t>
                </m:r>
              </m:sub>
            </m:sSub>
            <m:r>
              <m:rPr>
                <m:sty m:val="p"/>
              </m:rPr>
              <w:rPr>
                <w:rFonts w:ascii="Cambria Math" w:eastAsia="微软雅黑" w:hAnsi="Cambria Math" w:cs="微软雅黑"/>
              </w:rPr>
              <m:t>×</m:t>
            </m:r>
            <m:sSub>
              <m:sSubPr>
                <m:ctrlPr>
                  <w:rPr>
                    <w:rFonts w:ascii="Cambria Math" w:eastAsia="微软雅黑" w:hAnsi="Cambria Math" w:cs="微软雅黑"/>
                    <w:iCs/>
                  </w:rPr>
                </m:ctrlPr>
              </m:sSubPr>
              <m:e>
                <m:r>
                  <m:rPr>
                    <m:sty m:val="p"/>
                  </m:rPr>
                  <w:rPr>
                    <w:rFonts w:ascii="Cambria Math" w:eastAsia="微软雅黑" w:hAnsi="Cambria Math" w:cs="微软雅黑"/>
                  </w:rPr>
                  <m:t>CC</m:t>
                </m:r>
              </m:e>
              <m:sub>
                <m:r>
                  <m:rPr>
                    <m:sty m:val="p"/>
                  </m:rPr>
                  <w:rPr>
                    <w:rFonts w:ascii="Cambria Math" w:eastAsia="微软雅黑" w:hAnsi="Cambria Math" w:cs="微软雅黑"/>
                  </w:rPr>
                  <m:t>i</m:t>
                </m:r>
              </m:sub>
            </m:sSub>
          </m:e>
        </m:nary>
        <m:r>
          <m:rPr>
            <m:sty m:val="p"/>
          </m:rPr>
          <w:rPr>
            <w:rFonts w:ascii="Cambria Math" w:eastAsia="微软雅黑" w:hAnsi="Cambria Math" w:cs="微软雅黑"/>
          </w:rPr>
          <m:t>×</m:t>
        </m:r>
        <m:sSub>
          <m:sSubPr>
            <m:ctrlPr>
              <w:rPr>
                <w:rFonts w:ascii="Cambria Math" w:eastAsia="微软雅黑" w:hAnsi="Cambria Math" w:cs="微软雅黑"/>
                <w:iCs/>
              </w:rPr>
            </m:ctrlPr>
          </m:sSubPr>
          <m:e>
            <m:r>
              <m:rPr>
                <m:sty m:val="p"/>
              </m:rPr>
              <w:rPr>
                <w:rFonts w:ascii="Cambria Math" w:eastAsia="微软雅黑" w:hAnsi="Cambria Math" w:cs="微软雅黑"/>
              </w:rPr>
              <m:t>OF</m:t>
            </m:r>
          </m:e>
          <m:sub>
            <m:r>
              <m:rPr>
                <m:sty m:val="p"/>
              </m:rPr>
              <w:rPr>
                <w:rFonts w:ascii="Cambria Math" w:eastAsia="微软雅黑" w:hAnsi="Cambria Math" w:cs="微软雅黑"/>
              </w:rPr>
              <m:t>i</m:t>
            </m:r>
          </m:sub>
        </m:sSub>
        <m:r>
          <m:rPr>
            <m:sty m:val="p"/>
          </m:rPr>
          <w:rPr>
            <w:rFonts w:ascii="Cambria Math" w:eastAsia="微软雅黑" w:hAnsi="Cambria Math" w:cs="微软雅黑"/>
          </w:rPr>
          <m:t>×</m:t>
        </m:r>
        <m:f>
          <m:fPr>
            <m:ctrlPr>
              <w:rPr>
                <w:rFonts w:ascii="Cambria Math" w:eastAsia="微软雅黑" w:hAnsi="Cambria Math" w:cs="微软雅黑"/>
                <w:iCs/>
              </w:rPr>
            </m:ctrlPr>
          </m:fPr>
          <m:num>
            <m:r>
              <m:rPr>
                <m:sty m:val="p"/>
              </m:rPr>
              <w:rPr>
                <w:rFonts w:ascii="Cambria Math" w:eastAsia="微软雅黑" w:hAnsi="Cambria Math" w:cs="微软雅黑"/>
              </w:rPr>
              <m:t>44</m:t>
            </m:r>
          </m:num>
          <m:den>
            <m:r>
              <m:rPr>
                <m:sty m:val="p"/>
              </m:rPr>
              <w:rPr>
                <w:rFonts w:ascii="Cambria Math" w:eastAsia="微软雅黑" w:hAnsi="Cambria Math" w:cs="微软雅黑"/>
              </w:rPr>
              <m:t>12</m:t>
            </m:r>
          </m:den>
        </m:f>
        <m:r>
          <m:rPr>
            <m:sty m:val="p"/>
          </m:rPr>
          <w:rPr>
            <w:rFonts w:ascii="Cambria Math" w:eastAsia="微软雅黑" w:hAnsi="Cambria Math" w:cs="微软雅黑"/>
          </w:rPr>
          <m:t>)</m:t>
        </m:r>
      </m:oMath>
      <w:r w:rsidR="0006559E" w:rsidRPr="005137D1">
        <w:rPr>
          <w:rFonts w:hint="eastAsia"/>
          <w:iCs/>
        </w:rPr>
        <w:t xml:space="preserve"> </w:t>
      </w:r>
      <w:r w:rsidR="0006559E" w:rsidRPr="00746871">
        <w:t xml:space="preserve">       </w:t>
      </w:r>
      <w:r w:rsidR="00DD494E" w:rsidRPr="00746871">
        <w:t xml:space="preserve">                   </w:t>
      </w:r>
      <w:r w:rsidR="0006559E" w:rsidRPr="00746871">
        <w:rPr>
          <w:rFonts w:hint="eastAsia"/>
        </w:rPr>
        <w:t>（</w:t>
      </w:r>
      <w:r w:rsidR="0006559E" w:rsidRPr="00746871">
        <w:rPr>
          <w:rFonts w:hint="eastAsia"/>
        </w:rPr>
        <w:t>2</w:t>
      </w:r>
      <w:r w:rsidR="0006559E" w:rsidRPr="00746871">
        <w:rPr>
          <w:rFonts w:hint="eastAsia"/>
        </w:rPr>
        <w:t>）</w:t>
      </w:r>
    </w:p>
    <w:p w14:paraId="7DDB679F" w14:textId="0E195862" w:rsidR="00B01545" w:rsidRPr="00746871" w:rsidRDefault="00503F4E" w:rsidP="00503F4E">
      <w:pPr>
        <w:ind w:firstLine="420"/>
      </w:pPr>
      <w:r w:rsidRPr="00746871">
        <w:rPr>
          <w:rFonts w:hint="eastAsia"/>
        </w:rPr>
        <w:t>式中：</w:t>
      </w:r>
    </w:p>
    <w:tbl>
      <w:tblPr>
        <w:tblW w:w="0" w:type="auto"/>
        <w:jc w:val="right"/>
        <w:tblLook w:val="04A0" w:firstRow="1" w:lastRow="0" w:firstColumn="1" w:lastColumn="0" w:noHBand="0" w:noVBand="1"/>
      </w:tblPr>
      <w:tblGrid>
        <w:gridCol w:w="851"/>
        <w:gridCol w:w="1134"/>
        <w:gridCol w:w="6805"/>
      </w:tblGrid>
      <w:tr w:rsidR="00990F46" w:rsidRPr="00746871" w14:paraId="5A86623A" w14:textId="77777777" w:rsidTr="000A785B">
        <w:trPr>
          <w:jc w:val="right"/>
        </w:trPr>
        <w:tc>
          <w:tcPr>
            <w:tcW w:w="851" w:type="dxa"/>
            <w:shd w:val="clear" w:color="auto" w:fill="auto"/>
          </w:tcPr>
          <w:p w14:paraId="26146DCE" w14:textId="44F5D55E" w:rsidR="00990F46" w:rsidRPr="00990F46" w:rsidRDefault="00990F46" w:rsidP="00990F46">
            <w:pPr>
              <w:ind w:firstLineChars="0" w:firstLine="0"/>
              <w:rPr>
                <w:szCs w:val="21"/>
              </w:rPr>
            </w:pPr>
            <w:r w:rsidRPr="00990F46">
              <w:rPr>
                <w:szCs w:val="21"/>
              </w:rPr>
              <w:t>E</w:t>
            </w:r>
            <w:r w:rsidRPr="00990F46">
              <w:rPr>
                <w:szCs w:val="21"/>
                <w:vertAlign w:val="subscript"/>
              </w:rPr>
              <w:t>CO2</w:t>
            </w:r>
            <w:r w:rsidRPr="00990F46">
              <w:rPr>
                <w:szCs w:val="21"/>
                <w:vertAlign w:val="subscript"/>
              </w:rPr>
              <w:t>燃烧</w:t>
            </w:r>
          </w:p>
        </w:tc>
        <w:tc>
          <w:tcPr>
            <w:tcW w:w="1134" w:type="dxa"/>
          </w:tcPr>
          <w:p w14:paraId="78C549E1" w14:textId="224B0557" w:rsidR="00990F46" w:rsidRPr="00990F46" w:rsidRDefault="00990F46" w:rsidP="00990F46">
            <w:pPr>
              <w:ind w:firstLineChars="0" w:firstLine="0"/>
              <w:rPr>
                <w:szCs w:val="21"/>
              </w:rPr>
            </w:pPr>
            <w:r w:rsidRPr="00746871">
              <w:rPr>
                <w:rFonts w:ascii="宋体" w:hint="eastAsia"/>
                <w:szCs w:val="21"/>
              </w:rPr>
              <w:t>——</w:t>
            </w:r>
          </w:p>
        </w:tc>
        <w:tc>
          <w:tcPr>
            <w:tcW w:w="6805" w:type="dxa"/>
            <w:shd w:val="clear" w:color="auto" w:fill="auto"/>
          </w:tcPr>
          <w:p w14:paraId="43B038F8" w14:textId="0025E7DD" w:rsidR="00990F46" w:rsidRPr="00990F46" w:rsidRDefault="00990F46" w:rsidP="00990F46">
            <w:pPr>
              <w:ind w:firstLineChars="0" w:firstLine="0"/>
              <w:rPr>
                <w:szCs w:val="21"/>
              </w:rPr>
            </w:pPr>
            <w:r w:rsidRPr="00990F46">
              <w:rPr>
                <w:szCs w:val="21"/>
              </w:rPr>
              <w:t>报告主体的化石燃料燃烧产生的</w:t>
            </w:r>
            <w:r w:rsidRPr="00990F46">
              <w:rPr>
                <w:szCs w:val="21"/>
              </w:rPr>
              <w:t>CO2</w:t>
            </w:r>
            <w:r w:rsidRPr="00990F46">
              <w:rPr>
                <w:szCs w:val="21"/>
              </w:rPr>
              <w:t>排放量，单位为吨二氧化碳（</w:t>
            </w:r>
            <w:r w:rsidRPr="00990F46">
              <w:rPr>
                <w:szCs w:val="21"/>
              </w:rPr>
              <w:t>tCO</w:t>
            </w:r>
            <w:r w:rsidRPr="00990F46">
              <w:rPr>
                <w:szCs w:val="21"/>
                <w:vertAlign w:val="subscript"/>
              </w:rPr>
              <w:t>2</w:t>
            </w:r>
            <w:r w:rsidRPr="00990F46">
              <w:rPr>
                <w:szCs w:val="21"/>
              </w:rPr>
              <w:t>）</w:t>
            </w:r>
          </w:p>
        </w:tc>
      </w:tr>
      <w:tr w:rsidR="00990F46" w:rsidRPr="00746871" w14:paraId="212C10B0" w14:textId="77777777" w:rsidTr="000A785B">
        <w:trPr>
          <w:jc w:val="right"/>
        </w:trPr>
        <w:tc>
          <w:tcPr>
            <w:tcW w:w="851" w:type="dxa"/>
            <w:shd w:val="clear" w:color="auto" w:fill="auto"/>
          </w:tcPr>
          <w:p w14:paraId="707326A1" w14:textId="3DB70729" w:rsidR="00990F46" w:rsidRPr="00990F46" w:rsidRDefault="00990F46" w:rsidP="00990F46">
            <w:pPr>
              <w:ind w:firstLineChars="0" w:firstLine="0"/>
              <w:rPr>
                <w:szCs w:val="21"/>
              </w:rPr>
            </w:pPr>
            <w:r w:rsidRPr="00990F46">
              <w:rPr>
                <w:szCs w:val="21"/>
              </w:rPr>
              <w:t>i</w:t>
            </w:r>
          </w:p>
        </w:tc>
        <w:tc>
          <w:tcPr>
            <w:tcW w:w="1134" w:type="dxa"/>
          </w:tcPr>
          <w:p w14:paraId="0C9DED58" w14:textId="54035FC7" w:rsidR="00990F46" w:rsidRPr="00990F46" w:rsidRDefault="00990F46" w:rsidP="00990F46">
            <w:pPr>
              <w:ind w:firstLineChars="0" w:firstLine="0"/>
              <w:rPr>
                <w:szCs w:val="21"/>
              </w:rPr>
            </w:pPr>
            <w:r w:rsidRPr="00746871">
              <w:rPr>
                <w:rFonts w:ascii="宋体" w:hint="eastAsia"/>
                <w:szCs w:val="21"/>
              </w:rPr>
              <w:t>——</w:t>
            </w:r>
          </w:p>
        </w:tc>
        <w:tc>
          <w:tcPr>
            <w:tcW w:w="6805" w:type="dxa"/>
            <w:shd w:val="clear" w:color="auto" w:fill="auto"/>
          </w:tcPr>
          <w:p w14:paraId="21A71061" w14:textId="2B77375C" w:rsidR="00990F46" w:rsidRPr="00990F46" w:rsidRDefault="00990F46" w:rsidP="00990F46">
            <w:pPr>
              <w:ind w:firstLineChars="0" w:firstLine="0"/>
              <w:rPr>
                <w:szCs w:val="21"/>
              </w:rPr>
            </w:pPr>
            <w:r w:rsidRPr="00990F46">
              <w:rPr>
                <w:szCs w:val="21"/>
              </w:rPr>
              <w:t>化石燃料的种类</w:t>
            </w:r>
          </w:p>
        </w:tc>
      </w:tr>
      <w:tr w:rsidR="00990F46" w:rsidRPr="00746871" w14:paraId="6814E7A8" w14:textId="77777777" w:rsidTr="000A785B">
        <w:trPr>
          <w:jc w:val="right"/>
        </w:trPr>
        <w:tc>
          <w:tcPr>
            <w:tcW w:w="851" w:type="dxa"/>
            <w:shd w:val="clear" w:color="auto" w:fill="auto"/>
          </w:tcPr>
          <w:p w14:paraId="3288F34D" w14:textId="063CC2AE" w:rsidR="00990F46" w:rsidRPr="00990F46" w:rsidRDefault="00990F46" w:rsidP="00990F46">
            <w:pPr>
              <w:ind w:firstLineChars="0" w:firstLine="0"/>
              <w:rPr>
                <w:szCs w:val="21"/>
              </w:rPr>
            </w:pPr>
            <w:r w:rsidRPr="00990F46">
              <w:rPr>
                <w:szCs w:val="21"/>
              </w:rPr>
              <w:t>AD</w:t>
            </w:r>
            <w:r w:rsidRPr="00990F46">
              <w:rPr>
                <w:szCs w:val="21"/>
                <w:vertAlign w:val="subscript"/>
              </w:rPr>
              <w:t>i</w:t>
            </w:r>
          </w:p>
        </w:tc>
        <w:tc>
          <w:tcPr>
            <w:tcW w:w="1134" w:type="dxa"/>
          </w:tcPr>
          <w:p w14:paraId="4AEA8FC3" w14:textId="24E5B163" w:rsidR="00990F46" w:rsidRPr="00990F46" w:rsidRDefault="00990F46" w:rsidP="00990F46">
            <w:pPr>
              <w:ind w:firstLineChars="0" w:firstLine="0"/>
              <w:rPr>
                <w:szCs w:val="21"/>
              </w:rPr>
            </w:pPr>
            <w:r w:rsidRPr="00746871">
              <w:rPr>
                <w:rFonts w:ascii="宋体" w:hint="eastAsia"/>
                <w:szCs w:val="21"/>
              </w:rPr>
              <w:t>——</w:t>
            </w:r>
          </w:p>
        </w:tc>
        <w:tc>
          <w:tcPr>
            <w:tcW w:w="6805" w:type="dxa"/>
            <w:shd w:val="clear" w:color="auto" w:fill="auto"/>
          </w:tcPr>
          <w:p w14:paraId="239A0DEC" w14:textId="0C04EA79" w:rsidR="00990F46" w:rsidRPr="00990F46" w:rsidRDefault="00990F46" w:rsidP="00990F46">
            <w:pPr>
              <w:ind w:firstLineChars="0" w:firstLine="0"/>
              <w:rPr>
                <w:szCs w:val="21"/>
              </w:rPr>
            </w:pPr>
            <w:r w:rsidRPr="00990F46">
              <w:rPr>
                <w:szCs w:val="21"/>
              </w:rPr>
              <w:t>化石燃料品种</w:t>
            </w:r>
            <w:r w:rsidRPr="00990F46">
              <w:rPr>
                <w:szCs w:val="21"/>
              </w:rPr>
              <w:t>i</w:t>
            </w:r>
            <w:r w:rsidRPr="00990F46">
              <w:rPr>
                <w:szCs w:val="21"/>
              </w:rPr>
              <w:t>明确用作燃料燃烧的消费量，单位为吨（</w:t>
            </w:r>
            <w:r w:rsidRPr="00990F46">
              <w:rPr>
                <w:szCs w:val="21"/>
              </w:rPr>
              <w:t>t</w:t>
            </w:r>
            <w:r w:rsidRPr="00990F46">
              <w:rPr>
                <w:szCs w:val="21"/>
              </w:rPr>
              <w:t>）或者万标准立方米</w:t>
            </w:r>
            <w:r w:rsidRPr="00990F46">
              <w:rPr>
                <w:szCs w:val="21"/>
              </w:rPr>
              <w:t>(</w:t>
            </w:r>
            <w:r w:rsidRPr="00990F46">
              <w:t>10</w:t>
            </w:r>
            <w:r w:rsidRPr="00990F46">
              <w:rPr>
                <w:vertAlign w:val="superscript"/>
              </w:rPr>
              <w:t>4</w:t>
            </w:r>
            <w:r w:rsidRPr="00990F46">
              <w:t>Nm</w:t>
            </w:r>
            <w:r w:rsidRPr="00990F46">
              <w:rPr>
                <w:vertAlign w:val="superscript"/>
              </w:rPr>
              <w:t>3</w:t>
            </w:r>
            <w:r w:rsidRPr="00990F46">
              <w:rPr>
                <w:szCs w:val="21"/>
              </w:rPr>
              <w:t xml:space="preserve">) </w:t>
            </w:r>
          </w:p>
        </w:tc>
      </w:tr>
      <w:tr w:rsidR="00990F46" w:rsidRPr="00746871" w14:paraId="1553BECD" w14:textId="77777777" w:rsidTr="000A785B">
        <w:trPr>
          <w:jc w:val="right"/>
        </w:trPr>
        <w:tc>
          <w:tcPr>
            <w:tcW w:w="851" w:type="dxa"/>
            <w:shd w:val="clear" w:color="auto" w:fill="auto"/>
          </w:tcPr>
          <w:p w14:paraId="0507F878" w14:textId="05C02BE8" w:rsidR="00990F46" w:rsidRPr="00990F46" w:rsidRDefault="00990F46" w:rsidP="00990F46">
            <w:pPr>
              <w:ind w:firstLineChars="0" w:firstLine="0"/>
              <w:rPr>
                <w:szCs w:val="21"/>
              </w:rPr>
            </w:pPr>
            <w:r w:rsidRPr="00990F46">
              <w:rPr>
                <w:szCs w:val="21"/>
              </w:rPr>
              <w:t>CCi</w:t>
            </w:r>
          </w:p>
        </w:tc>
        <w:tc>
          <w:tcPr>
            <w:tcW w:w="1134" w:type="dxa"/>
          </w:tcPr>
          <w:p w14:paraId="1DD3BE4E" w14:textId="2750E984" w:rsidR="00990F46" w:rsidRPr="00990F46" w:rsidRDefault="00990F46" w:rsidP="00990F46">
            <w:pPr>
              <w:ind w:firstLineChars="0" w:firstLine="0"/>
              <w:rPr>
                <w:szCs w:val="21"/>
              </w:rPr>
            </w:pPr>
            <w:r w:rsidRPr="00746871">
              <w:rPr>
                <w:rFonts w:ascii="宋体" w:hint="eastAsia"/>
                <w:szCs w:val="21"/>
              </w:rPr>
              <w:t>——</w:t>
            </w:r>
          </w:p>
        </w:tc>
        <w:tc>
          <w:tcPr>
            <w:tcW w:w="6805" w:type="dxa"/>
            <w:shd w:val="clear" w:color="auto" w:fill="auto"/>
          </w:tcPr>
          <w:p w14:paraId="5F387E57" w14:textId="0B5BC83C" w:rsidR="00990F46" w:rsidRPr="00990F46" w:rsidRDefault="00990F46" w:rsidP="00990F46">
            <w:pPr>
              <w:ind w:firstLineChars="0" w:firstLine="0"/>
              <w:rPr>
                <w:szCs w:val="21"/>
              </w:rPr>
            </w:pPr>
            <w:r w:rsidRPr="00990F46">
              <w:rPr>
                <w:szCs w:val="21"/>
              </w:rPr>
              <w:t>化石燃料</w:t>
            </w:r>
            <w:r w:rsidRPr="00990F46">
              <w:rPr>
                <w:szCs w:val="21"/>
              </w:rPr>
              <w:t>i</w:t>
            </w:r>
            <w:r w:rsidRPr="00990F46">
              <w:rPr>
                <w:szCs w:val="21"/>
              </w:rPr>
              <w:t>的含碳量，单位为吨碳</w:t>
            </w:r>
            <w:r w:rsidRPr="00990F46">
              <w:rPr>
                <w:szCs w:val="21"/>
              </w:rPr>
              <w:t>/</w:t>
            </w:r>
            <w:r w:rsidRPr="00990F46">
              <w:rPr>
                <w:szCs w:val="21"/>
              </w:rPr>
              <w:t>吨燃料（</w:t>
            </w:r>
            <w:r w:rsidRPr="00990F46">
              <w:rPr>
                <w:szCs w:val="21"/>
              </w:rPr>
              <w:t>tCO</w:t>
            </w:r>
            <w:r w:rsidRPr="00990F46">
              <w:rPr>
                <w:szCs w:val="21"/>
                <w:vertAlign w:val="subscript"/>
              </w:rPr>
              <w:t>2</w:t>
            </w:r>
            <w:r w:rsidRPr="00990F46">
              <w:rPr>
                <w:szCs w:val="21"/>
              </w:rPr>
              <w:t>/t</w:t>
            </w:r>
            <w:r w:rsidRPr="00990F46">
              <w:rPr>
                <w:szCs w:val="21"/>
              </w:rPr>
              <w:t>）或者吨碳</w:t>
            </w:r>
            <w:r w:rsidRPr="00990F46">
              <w:rPr>
                <w:szCs w:val="21"/>
              </w:rPr>
              <w:t>/</w:t>
            </w:r>
            <w:r w:rsidRPr="00990F46">
              <w:rPr>
                <w:szCs w:val="21"/>
              </w:rPr>
              <w:t>万标准立方米</w:t>
            </w:r>
            <w:r w:rsidRPr="00990F46">
              <w:rPr>
                <w:szCs w:val="21"/>
              </w:rPr>
              <w:t>(tCO</w:t>
            </w:r>
            <w:r w:rsidRPr="00990F46">
              <w:rPr>
                <w:szCs w:val="21"/>
                <w:vertAlign w:val="subscript"/>
              </w:rPr>
              <w:t>2</w:t>
            </w:r>
            <w:r w:rsidRPr="00990F46">
              <w:rPr>
                <w:szCs w:val="21"/>
              </w:rPr>
              <w:t>/</w:t>
            </w:r>
            <w:r w:rsidRPr="00990F46">
              <w:t>10</w:t>
            </w:r>
            <w:r w:rsidRPr="00990F46">
              <w:rPr>
                <w:vertAlign w:val="superscript"/>
              </w:rPr>
              <w:t>4</w:t>
            </w:r>
            <w:r w:rsidRPr="00990F46">
              <w:t>Nm</w:t>
            </w:r>
            <w:r w:rsidRPr="00990F46">
              <w:rPr>
                <w:vertAlign w:val="superscript"/>
              </w:rPr>
              <w:t>3</w:t>
            </w:r>
            <w:r w:rsidRPr="00990F46">
              <w:rPr>
                <w:szCs w:val="21"/>
              </w:rPr>
              <w:t>)</w:t>
            </w:r>
          </w:p>
        </w:tc>
      </w:tr>
      <w:tr w:rsidR="004A5587" w:rsidRPr="00746871" w14:paraId="2B1E46EF" w14:textId="77777777" w:rsidTr="000A785B">
        <w:trPr>
          <w:jc w:val="right"/>
        </w:trPr>
        <w:tc>
          <w:tcPr>
            <w:tcW w:w="851" w:type="dxa"/>
            <w:shd w:val="clear" w:color="auto" w:fill="auto"/>
          </w:tcPr>
          <w:p w14:paraId="48CB873A" w14:textId="13185688" w:rsidR="004A5587" w:rsidRPr="00990F46" w:rsidRDefault="00630B96" w:rsidP="00A272C7">
            <w:pPr>
              <w:ind w:firstLineChars="0" w:firstLine="0"/>
              <w:rPr>
                <w:szCs w:val="21"/>
              </w:rPr>
            </w:pPr>
            <w:r w:rsidRPr="00990F46">
              <w:rPr>
                <w:szCs w:val="21"/>
              </w:rPr>
              <w:t>OFi</w:t>
            </w:r>
          </w:p>
        </w:tc>
        <w:tc>
          <w:tcPr>
            <w:tcW w:w="1134" w:type="dxa"/>
          </w:tcPr>
          <w:p w14:paraId="430FA439" w14:textId="5B585446" w:rsidR="004A5587" w:rsidRPr="00990F46" w:rsidRDefault="00990F46" w:rsidP="00A272C7">
            <w:pPr>
              <w:ind w:firstLineChars="0" w:firstLine="0"/>
              <w:rPr>
                <w:szCs w:val="21"/>
              </w:rPr>
            </w:pPr>
            <w:r w:rsidRPr="00746871">
              <w:rPr>
                <w:rFonts w:ascii="宋体" w:hint="eastAsia"/>
                <w:szCs w:val="21"/>
              </w:rPr>
              <w:t>——</w:t>
            </w:r>
          </w:p>
        </w:tc>
        <w:tc>
          <w:tcPr>
            <w:tcW w:w="6805" w:type="dxa"/>
            <w:shd w:val="clear" w:color="auto" w:fill="auto"/>
          </w:tcPr>
          <w:p w14:paraId="4A1BE49D" w14:textId="50058B7D" w:rsidR="004A5587" w:rsidRPr="00990F46" w:rsidRDefault="00630B96" w:rsidP="00A272C7">
            <w:pPr>
              <w:ind w:firstLineChars="0" w:firstLine="0"/>
              <w:rPr>
                <w:szCs w:val="21"/>
              </w:rPr>
            </w:pPr>
            <w:r w:rsidRPr="00990F46">
              <w:rPr>
                <w:szCs w:val="21"/>
              </w:rPr>
              <w:t>化石燃料</w:t>
            </w:r>
            <w:r w:rsidRPr="00990F46">
              <w:rPr>
                <w:szCs w:val="21"/>
              </w:rPr>
              <w:t>i</w:t>
            </w:r>
            <w:r w:rsidRPr="00990F46">
              <w:rPr>
                <w:szCs w:val="21"/>
              </w:rPr>
              <w:t>的碳氧化率，取值范围为</w:t>
            </w:r>
            <w:r w:rsidRPr="00990F46">
              <w:rPr>
                <w:szCs w:val="21"/>
              </w:rPr>
              <w:t>0</w:t>
            </w:r>
            <w:r w:rsidR="00A67300" w:rsidRPr="00990F46">
              <w:t>～</w:t>
            </w:r>
            <w:r w:rsidR="001867AB" w:rsidRPr="00990F46">
              <w:rPr>
                <w:szCs w:val="21"/>
              </w:rPr>
              <w:t>1</w:t>
            </w:r>
          </w:p>
        </w:tc>
      </w:tr>
    </w:tbl>
    <w:p w14:paraId="7D6068DC" w14:textId="71F27D89" w:rsidR="004A5587" w:rsidRPr="00746871" w:rsidRDefault="004A5587" w:rsidP="00503F4E">
      <w:pPr>
        <w:ind w:firstLine="420"/>
      </w:pPr>
    </w:p>
    <w:p w14:paraId="7EC6E6DA" w14:textId="003F0C7D" w:rsidR="004B0C6D" w:rsidRPr="00746871" w:rsidRDefault="004B0C6D" w:rsidP="003326C9">
      <w:pPr>
        <w:ind w:firstLine="420"/>
        <w:outlineLvl w:val="5"/>
      </w:pPr>
      <w:r w:rsidRPr="00746871">
        <w:rPr>
          <w:rFonts w:hint="eastAsia"/>
        </w:rPr>
        <w:t>c</w:t>
      </w:r>
      <w:r w:rsidRPr="00746871">
        <w:t>)</w:t>
      </w:r>
      <w:r w:rsidRPr="00746871">
        <w:rPr>
          <w:rFonts w:hint="eastAsia"/>
        </w:rPr>
        <w:t>企业净购入电力和热力对应的排放</w:t>
      </w:r>
    </w:p>
    <w:p w14:paraId="0DCED89A" w14:textId="2445C112" w:rsidR="004B0C6D" w:rsidRPr="00746871" w:rsidRDefault="004B0C6D" w:rsidP="00503F4E">
      <w:pPr>
        <w:ind w:firstLine="420"/>
      </w:pPr>
      <w:r w:rsidRPr="00746871">
        <w:rPr>
          <w:rFonts w:hint="eastAsia"/>
        </w:rPr>
        <w:t>企业净购入的电力和热力对应的碳排放分别按公式（</w:t>
      </w:r>
      <w:r w:rsidRPr="00746871">
        <w:rPr>
          <w:rFonts w:hint="eastAsia"/>
        </w:rPr>
        <w:t>3</w:t>
      </w:r>
      <w:r w:rsidRPr="00746871">
        <w:rPr>
          <w:rFonts w:hint="eastAsia"/>
        </w:rPr>
        <w:t>）和（</w:t>
      </w:r>
      <w:r w:rsidRPr="00746871">
        <w:rPr>
          <w:rFonts w:hint="eastAsia"/>
        </w:rPr>
        <w:t>4</w:t>
      </w:r>
      <w:r w:rsidRPr="00746871">
        <w:rPr>
          <w:rFonts w:hint="eastAsia"/>
        </w:rPr>
        <w:t>）计算。</w:t>
      </w:r>
    </w:p>
    <w:p w14:paraId="7AD24DAB" w14:textId="140523A4" w:rsidR="004B0C6D" w:rsidRPr="00746871" w:rsidRDefault="008A440C" w:rsidP="00E4209A">
      <w:pPr>
        <w:ind w:firstLine="420"/>
        <w:jc w:val="center"/>
      </w:pPr>
      <m:oMath>
        <m:sSub>
          <m:sSubPr>
            <m:ctrlPr>
              <w:rPr>
                <w:rFonts w:ascii="Cambria Math" w:hAnsi="Cambria Math"/>
                <w:iCs/>
              </w:rPr>
            </m:ctrlPr>
          </m:sSubPr>
          <m:e>
            <m:r>
              <m:rPr>
                <m:sty m:val="p"/>
              </m:rPr>
              <w:rPr>
                <w:rFonts w:ascii="Cambria Math" w:hAnsi="Cambria Math"/>
              </w:rPr>
              <m:t>E</m:t>
            </m:r>
          </m:e>
          <m:sub>
            <m:r>
              <m:rPr>
                <m:sty m:val="p"/>
              </m:rPr>
              <w:rPr>
                <w:rFonts w:ascii="Cambria Math" w:hAnsi="Cambria Math"/>
              </w:rPr>
              <m:t>co2,</m:t>
            </m:r>
            <m:r>
              <m:rPr>
                <m:sty m:val="p"/>
              </m:rPr>
              <w:rPr>
                <w:rFonts w:ascii="Cambria Math" w:hAnsi="Cambria Math" w:hint="eastAsia"/>
              </w:rPr>
              <m:t>净电</m:t>
            </m:r>
          </m:sub>
        </m:sSub>
        <m:r>
          <w:rPr>
            <w:rFonts w:ascii="Cambria Math" w:hAnsi="Cambria Math" w:hint="eastAsia"/>
          </w:rPr>
          <m:t>=</m:t>
        </m:r>
        <m:sSub>
          <m:sSubPr>
            <m:ctrlPr>
              <w:rPr>
                <w:rFonts w:ascii="Cambria Math" w:hAnsi="Cambria Math"/>
                <w:iCs/>
              </w:rPr>
            </m:ctrlPr>
          </m:sSubPr>
          <m:e>
            <m:r>
              <m:rPr>
                <m:sty m:val="p"/>
              </m:rPr>
              <w:rPr>
                <w:rFonts w:ascii="Cambria Math" w:hAnsi="Cambria Math"/>
              </w:rPr>
              <m:t>AD</m:t>
            </m:r>
          </m:e>
          <m:sub>
            <m:r>
              <m:rPr>
                <m:sty m:val="p"/>
              </m:rPr>
              <w:rPr>
                <w:rFonts w:ascii="Cambria Math" w:hAnsi="Cambria Math" w:hint="eastAsia"/>
              </w:rPr>
              <m:t>电力</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EF</m:t>
            </m:r>
          </m:e>
          <m:sub>
            <m:r>
              <m:rPr>
                <m:sty m:val="p"/>
              </m:rPr>
              <w:rPr>
                <w:rFonts w:ascii="Cambria Math" w:hAnsi="Cambria Math" w:hint="eastAsia"/>
              </w:rPr>
              <m:t>电力</m:t>
            </m:r>
          </m:sub>
        </m:sSub>
      </m:oMath>
      <w:r w:rsidR="00E4209A" w:rsidRPr="00746871">
        <w:t xml:space="preserve">              </w:t>
      </w:r>
      <w:r w:rsidR="00C85776" w:rsidRPr="00746871">
        <w:t xml:space="preserve"> </w:t>
      </w:r>
      <w:r w:rsidR="00E4209A" w:rsidRPr="00746871">
        <w:t xml:space="preserve">   (3)</w:t>
      </w:r>
    </w:p>
    <w:p w14:paraId="1A10F4BC" w14:textId="48003D7B" w:rsidR="00E4209A" w:rsidRPr="00746871" w:rsidRDefault="008A440C" w:rsidP="00E4209A">
      <w:pPr>
        <w:ind w:firstLine="420"/>
        <w:jc w:val="center"/>
      </w:pPr>
      <m:oMath>
        <m:sSub>
          <m:sSubPr>
            <m:ctrlPr>
              <w:rPr>
                <w:rFonts w:ascii="Cambria Math" w:hAnsi="Cambria Math"/>
                <w:iCs/>
              </w:rPr>
            </m:ctrlPr>
          </m:sSubPr>
          <m:e>
            <m:r>
              <m:rPr>
                <m:sty m:val="p"/>
              </m:rPr>
              <w:rPr>
                <w:rFonts w:ascii="Cambria Math" w:hAnsi="Cambria Math"/>
              </w:rPr>
              <m:t>E</m:t>
            </m:r>
          </m:e>
          <m:sub>
            <m:r>
              <m:rPr>
                <m:sty m:val="p"/>
              </m:rPr>
              <w:rPr>
                <w:rFonts w:ascii="Cambria Math" w:hAnsi="Cambria Math"/>
              </w:rPr>
              <m:t>CO2,</m:t>
            </m:r>
            <m:r>
              <m:rPr>
                <m:sty m:val="p"/>
              </m:rPr>
              <w:rPr>
                <w:rFonts w:ascii="Cambria Math" w:hAnsi="Cambria Math" w:hint="eastAsia"/>
              </w:rPr>
              <m:t>净热</m:t>
            </m:r>
          </m:sub>
        </m:sSub>
        <m:r>
          <w:rPr>
            <w:rFonts w:ascii="Cambria Math" w:hAnsi="Cambria Math" w:hint="eastAsia"/>
          </w:rPr>
          <m:t>=</m:t>
        </m:r>
        <m:sSub>
          <m:sSubPr>
            <m:ctrlPr>
              <w:rPr>
                <w:rFonts w:ascii="Cambria Math" w:hAnsi="Cambria Math"/>
                <w:iCs/>
              </w:rPr>
            </m:ctrlPr>
          </m:sSubPr>
          <m:e>
            <m:r>
              <m:rPr>
                <m:sty m:val="p"/>
              </m:rPr>
              <w:rPr>
                <w:rFonts w:ascii="Cambria Math" w:hAnsi="Cambria Math"/>
              </w:rPr>
              <m:t>AD</m:t>
            </m:r>
          </m:e>
          <m:sub>
            <m:r>
              <m:rPr>
                <m:sty m:val="p"/>
              </m:rPr>
              <w:rPr>
                <w:rFonts w:ascii="Cambria Math" w:hAnsi="Cambria Math" w:hint="eastAsia"/>
              </w:rPr>
              <m:t>热力</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EF</m:t>
            </m:r>
          </m:e>
          <m:sub>
            <m:r>
              <m:rPr>
                <m:sty m:val="p"/>
              </m:rPr>
              <w:rPr>
                <w:rFonts w:ascii="Cambria Math" w:hAnsi="Cambria Math" w:hint="eastAsia"/>
              </w:rPr>
              <m:t>热力</m:t>
            </m:r>
          </m:sub>
        </m:sSub>
      </m:oMath>
      <w:r w:rsidR="00234D09" w:rsidRPr="005137D1">
        <w:rPr>
          <w:rFonts w:hint="eastAsia"/>
          <w:iCs/>
        </w:rPr>
        <w:t xml:space="preserve"> </w:t>
      </w:r>
      <w:r w:rsidR="00234D09" w:rsidRPr="005137D1">
        <w:rPr>
          <w:iCs/>
        </w:rPr>
        <w:t xml:space="preserve">  </w:t>
      </w:r>
      <w:r w:rsidR="00234D09" w:rsidRPr="00746871">
        <w:t xml:space="preserve">     </w:t>
      </w:r>
      <w:r w:rsidR="00C85776" w:rsidRPr="00746871">
        <w:t xml:space="preserve">    </w:t>
      </w:r>
      <w:r w:rsidR="00234D09" w:rsidRPr="00746871">
        <w:t xml:space="preserve">     </w:t>
      </w:r>
      <w:r w:rsidR="00234D09" w:rsidRPr="00746871">
        <w:rPr>
          <w:rFonts w:hint="eastAsia"/>
        </w:rPr>
        <w:t>（</w:t>
      </w:r>
      <w:r w:rsidR="00234D09" w:rsidRPr="00746871">
        <w:rPr>
          <w:rFonts w:hint="eastAsia"/>
        </w:rPr>
        <w:t>4</w:t>
      </w:r>
      <w:r w:rsidR="00234D09" w:rsidRPr="00746871">
        <w:rPr>
          <w:rFonts w:hint="eastAsia"/>
        </w:rPr>
        <w:t>）</w:t>
      </w:r>
    </w:p>
    <w:p w14:paraId="7934A945" w14:textId="77777777" w:rsidR="004B0C6D" w:rsidRPr="00746871" w:rsidRDefault="004B0C6D" w:rsidP="00503F4E">
      <w:pPr>
        <w:ind w:firstLine="420"/>
      </w:pPr>
    </w:p>
    <w:p w14:paraId="57E207A3" w14:textId="3E3771BB" w:rsidR="004B0C6D" w:rsidRPr="00746871" w:rsidRDefault="004B0C6D" w:rsidP="00503F4E">
      <w:pPr>
        <w:ind w:firstLine="420"/>
      </w:pPr>
      <w:r w:rsidRPr="00746871">
        <w:rPr>
          <w:rFonts w:hint="eastAsia"/>
        </w:rPr>
        <w:t>式中：</w:t>
      </w:r>
    </w:p>
    <w:tbl>
      <w:tblPr>
        <w:tblW w:w="0" w:type="auto"/>
        <w:jc w:val="right"/>
        <w:tblLook w:val="04A0" w:firstRow="1" w:lastRow="0" w:firstColumn="1" w:lastColumn="0" w:noHBand="0" w:noVBand="1"/>
      </w:tblPr>
      <w:tblGrid>
        <w:gridCol w:w="993"/>
        <w:gridCol w:w="992"/>
        <w:gridCol w:w="6805"/>
      </w:tblGrid>
      <w:tr w:rsidR="000436BF" w:rsidRPr="005A78D4" w14:paraId="16DF5A87" w14:textId="77777777" w:rsidTr="00A272C7">
        <w:trPr>
          <w:jc w:val="right"/>
        </w:trPr>
        <w:tc>
          <w:tcPr>
            <w:tcW w:w="993" w:type="dxa"/>
            <w:shd w:val="clear" w:color="auto" w:fill="auto"/>
          </w:tcPr>
          <w:p w14:paraId="12498254" w14:textId="77777777" w:rsidR="000436BF" w:rsidRPr="005A78D4" w:rsidRDefault="000436BF" w:rsidP="00A272C7">
            <w:pPr>
              <w:ind w:firstLineChars="0" w:firstLine="0"/>
              <w:rPr>
                <w:szCs w:val="21"/>
              </w:rPr>
            </w:pPr>
            <w:r w:rsidRPr="005A78D4">
              <w:rPr>
                <w:szCs w:val="21"/>
              </w:rPr>
              <w:t>E</w:t>
            </w:r>
            <w:r w:rsidRPr="005A78D4">
              <w:rPr>
                <w:szCs w:val="21"/>
                <w:vertAlign w:val="subscript"/>
              </w:rPr>
              <w:t>CO2,</w:t>
            </w:r>
            <w:r w:rsidRPr="005A78D4">
              <w:rPr>
                <w:szCs w:val="21"/>
                <w:vertAlign w:val="subscript"/>
              </w:rPr>
              <w:t>净电</w:t>
            </w:r>
          </w:p>
        </w:tc>
        <w:tc>
          <w:tcPr>
            <w:tcW w:w="992" w:type="dxa"/>
          </w:tcPr>
          <w:p w14:paraId="291988A3" w14:textId="77777777" w:rsidR="000436BF" w:rsidRPr="005A78D4" w:rsidRDefault="000436BF" w:rsidP="00A272C7">
            <w:pPr>
              <w:ind w:firstLineChars="0" w:firstLine="0"/>
              <w:rPr>
                <w:szCs w:val="21"/>
              </w:rPr>
            </w:pPr>
            <w:r w:rsidRPr="005A78D4">
              <w:rPr>
                <w:szCs w:val="21"/>
              </w:rPr>
              <w:t>——</w:t>
            </w:r>
          </w:p>
        </w:tc>
        <w:tc>
          <w:tcPr>
            <w:tcW w:w="6805" w:type="dxa"/>
            <w:shd w:val="clear" w:color="auto" w:fill="auto"/>
          </w:tcPr>
          <w:p w14:paraId="539BB0ED" w14:textId="77777777" w:rsidR="000436BF" w:rsidRPr="005A78D4" w:rsidRDefault="000436BF" w:rsidP="00A272C7">
            <w:pPr>
              <w:ind w:firstLineChars="0" w:firstLine="0"/>
              <w:rPr>
                <w:szCs w:val="21"/>
              </w:rPr>
            </w:pPr>
            <w:r w:rsidRPr="005A78D4">
              <w:rPr>
                <w:szCs w:val="21"/>
              </w:rPr>
              <w:t>企业净购入电力对应的</w:t>
            </w:r>
            <w:r w:rsidRPr="005A78D4">
              <w:rPr>
                <w:szCs w:val="21"/>
              </w:rPr>
              <w:t>CO2</w:t>
            </w:r>
            <w:r w:rsidRPr="005A78D4">
              <w:rPr>
                <w:szCs w:val="21"/>
              </w:rPr>
              <w:t>排放量，单位为吨二氧化碳（</w:t>
            </w:r>
            <w:r w:rsidRPr="005A78D4">
              <w:rPr>
                <w:szCs w:val="21"/>
              </w:rPr>
              <w:t>tCO</w:t>
            </w:r>
            <w:r w:rsidRPr="005A78D4">
              <w:rPr>
                <w:szCs w:val="21"/>
                <w:vertAlign w:val="subscript"/>
              </w:rPr>
              <w:t>2</w:t>
            </w:r>
            <w:r w:rsidRPr="005A78D4">
              <w:rPr>
                <w:szCs w:val="21"/>
              </w:rPr>
              <w:t>）</w:t>
            </w:r>
          </w:p>
        </w:tc>
      </w:tr>
      <w:tr w:rsidR="000436BF" w:rsidRPr="005A78D4" w14:paraId="348BD5A1" w14:textId="77777777" w:rsidTr="00A272C7">
        <w:trPr>
          <w:jc w:val="right"/>
        </w:trPr>
        <w:tc>
          <w:tcPr>
            <w:tcW w:w="993" w:type="dxa"/>
            <w:shd w:val="clear" w:color="auto" w:fill="auto"/>
          </w:tcPr>
          <w:p w14:paraId="11A0AC23" w14:textId="77777777" w:rsidR="000436BF" w:rsidRPr="005A78D4" w:rsidRDefault="000436BF" w:rsidP="00A272C7">
            <w:pPr>
              <w:ind w:firstLineChars="0" w:firstLine="0"/>
              <w:rPr>
                <w:szCs w:val="21"/>
              </w:rPr>
            </w:pPr>
            <w:r w:rsidRPr="005A78D4">
              <w:rPr>
                <w:szCs w:val="21"/>
              </w:rPr>
              <w:t>E</w:t>
            </w:r>
            <w:r w:rsidRPr="005A78D4">
              <w:rPr>
                <w:szCs w:val="21"/>
                <w:vertAlign w:val="subscript"/>
              </w:rPr>
              <w:t>CO2,</w:t>
            </w:r>
            <w:r w:rsidRPr="005A78D4">
              <w:rPr>
                <w:szCs w:val="21"/>
                <w:vertAlign w:val="subscript"/>
              </w:rPr>
              <w:t>净热</w:t>
            </w:r>
          </w:p>
        </w:tc>
        <w:tc>
          <w:tcPr>
            <w:tcW w:w="992" w:type="dxa"/>
          </w:tcPr>
          <w:p w14:paraId="5BF86BF1" w14:textId="77777777" w:rsidR="000436BF" w:rsidRPr="005A78D4" w:rsidRDefault="000436BF" w:rsidP="00A272C7">
            <w:pPr>
              <w:ind w:firstLineChars="0" w:firstLine="0"/>
              <w:rPr>
                <w:szCs w:val="21"/>
              </w:rPr>
            </w:pPr>
            <w:r w:rsidRPr="005A78D4">
              <w:rPr>
                <w:szCs w:val="21"/>
              </w:rPr>
              <w:t>——</w:t>
            </w:r>
          </w:p>
        </w:tc>
        <w:tc>
          <w:tcPr>
            <w:tcW w:w="6805" w:type="dxa"/>
            <w:shd w:val="clear" w:color="auto" w:fill="auto"/>
          </w:tcPr>
          <w:p w14:paraId="6451E35A" w14:textId="77777777" w:rsidR="000436BF" w:rsidRPr="005A78D4" w:rsidRDefault="000436BF" w:rsidP="00A272C7">
            <w:pPr>
              <w:ind w:firstLineChars="0" w:firstLine="0"/>
              <w:rPr>
                <w:szCs w:val="21"/>
              </w:rPr>
            </w:pPr>
            <w:r w:rsidRPr="005A78D4">
              <w:rPr>
                <w:szCs w:val="21"/>
              </w:rPr>
              <w:t>企业净购入热力对应的</w:t>
            </w:r>
            <w:r w:rsidRPr="005A78D4">
              <w:rPr>
                <w:szCs w:val="21"/>
              </w:rPr>
              <w:t>CO2</w:t>
            </w:r>
            <w:r w:rsidRPr="005A78D4">
              <w:rPr>
                <w:szCs w:val="21"/>
              </w:rPr>
              <w:t>排放量，单位为吨二氧化碳（</w:t>
            </w:r>
            <w:r w:rsidRPr="005A78D4">
              <w:rPr>
                <w:szCs w:val="21"/>
              </w:rPr>
              <w:t>tCO</w:t>
            </w:r>
            <w:r w:rsidRPr="005A78D4">
              <w:rPr>
                <w:szCs w:val="21"/>
                <w:vertAlign w:val="subscript"/>
              </w:rPr>
              <w:t>2</w:t>
            </w:r>
            <w:r w:rsidRPr="005A78D4">
              <w:rPr>
                <w:szCs w:val="21"/>
              </w:rPr>
              <w:t>）</w:t>
            </w:r>
          </w:p>
        </w:tc>
      </w:tr>
      <w:tr w:rsidR="000436BF" w:rsidRPr="005A78D4" w14:paraId="5FA6F644" w14:textId="77777777" w:rsidTr="00A272C7">
        <w:trPr>
          <w:jc w:val="right"/>
        </w:trPr>
        <w:tc>
          <w:tcPr>
            <w:tcW w:w="993" w:type="dxa"/>
            <w:shd w:val="clear" w:color="auto" w:fill="auto"/>
          </w:tcPr>
          <w:p w14:paraId="738F4479" w14:textId="77777777" w:rsidR="000436BF" w:rsidRPr="005A78D4" w:rsidRDefault="000436BF" w:rsidP="00A272C7">
            <w:pPr>
              <w:ind w:firstLineChars="0" w:firstLine="0"/>
              <w:rPr>
                <w:szCs w:val="21"/>
              </w:rPr>
            </w:pPr>
            <w:r w:rsidRPr="005A78D4">
              <w:rPr>
                <w:szCs w:val="21"/>
              </w:rPr>
              <w:t>AD</w:t>
            </w:r>
            <w:r w:rsidRPr="005A78D4">
              <w:rPr>
                <w:szCs w:val="21"/>
                <w:vertAlign w:val="subscript"/>
              </w:rPr>
              <w:t>电力</w:t>
            </w:r>
          </w:p>
        </w:tc>
        <w:tc>
          <w:tcPr>
            <w:tcW w:w="992" w:type="dxa"/>
          </w:tcPr>
          <w:p w14:paraId="5A42BEA1" w14:textId="77777777" w:rsidR="000436BF" w:rsidRPr="005A78D4" w:rsidRDefault="000436BF" w:rsidP="00A272C7">
            <w:pPr>
              <w:ind w:firstLineChars="0" w:firstLine="0"/>
              <w:rPr>
                <w:szCs w:val="21"/>
              </w:rPr>
            </w:pPr>
            <w:r w:rsidRPr="005A78D4">
              <w:rPr>
                <w:szCs w:val="21"/>
              </w:rPr>
              <w:t>——</w:t>
            </w:r>
          </w:p>
        </w:tc>
        <w:tc>
          <w:tcPr>
            <w:tcW w:w="6805" w:type="dxa"/>
            <w:shd w:val="clear" w:color="auto" w:fill="auto"/>
          </w:tcPr>
          <w:p w14:paraId="4D981D40" w14:textId="77777777" w:rsidR="000436BF" w:rsidRPr="005A78D4" w:rsidRDefault="000436BF" w:rsidP="00A272C7">
            <w:pPr>
              <w:ind w:firstLineChars="0" w:firstLine="0"/>
              <w:rPr>
                <w:szCs w:val="21"/>
              </w:rPr>
            </w:pPr>
            <w:r w:rsidRPr="005A78D4">
              <w:rPr>
                <w:szCs w:val="21"/>
              </w:rPr>
              <w:t>企业净购入的电力量，单位为兆千瓦时（</w:t>
            </w:r>
            <w:r w:rsidRPr="005A78D4">
              <w:rPr>
                <w:szCs w:val="21"/>
              </w:rPr>
              <w:t>MWh</w:t>
            </w:r>
            <w:r w:rsidRPr="005A78D4">
              <w:rPr>
                <w:szCs w:val="21"/>
              </w:rPr>
              <w:t>）</w:t>
            </w:r>
          </w:p>
        </w:tc>
      </w:tr>
      <w:tr w:rsidR="000436BF" w:rsidRPr="005A78D4" w14:paraId="0A9AD4A9" w14:textId="77777777" w:rsidTr="00A272C7">
        <w:trPr>
          <w:jc w:val="right"/>
        </w:trPr>
        <w:tc>
          <w:tcPr>
            <w:tcW w:w="993" w:type="dxa"/>
            <w:shd w:val="clear" w:color="auto" w:fill="auto"/>
          </w:tcPr>
          <w:p w14:paraId="23427CA0" w14:textId="77777777" w:rsidR="000436BF" w:rsidRPr="005A78D4" w:rsidRDefault="000436BF" w:rsidP="00A272C7">
            <w:pPr>
              <w:ind w:firstLineChars="0" w:firstLine="0"/>
              <w:rPr>
                <w:szCs w:val="21"/>
              </w:rPr>
            </w:pPr>
            <w:r w:rsidRPr="005A78D4">
              <w:rPr>
                <w:szCs w:val="21"/>
              </w:rPr>
              <w:t>AD</w:t>
            </w:r>
            <w:r w:rsidRPr="005A78D4">
              <w:rPr>
                <w:szCs w:val="21"/>
                <w:vertAlign w:val="subscript"/>
              </w:rPr>
              <w:t>热力</w:t>
            </w:r>
          </w:p>
        </w:tc>
        <w:tc>
          <w:tcPr>
            <w:tcW w:w="992" w:type="dxa"/>
          </w:tcPr>
          <w:p w14:paraId="48B3CB82" w14:textId="77777777" w:rsidR="000436BF" w:rsidRPr="005A78D4" w:rsidRDefault="000436BF" w:rsidP="00A272C7">
            <w:pPr>
              <w:ind w:firstLineChars="0" w:firstLine="0"/>
              <w:rPr>
                <w:szCs w:val="21"/>
              </w:rPr>
            </w:pPr>
            <w:r w:rsidRPr="005A78D4">
              <w:rPr>
                <w:szCs w:val="21"/>
              </w:rPr>
              <w:t>——</w:t>
            </w:r>
          </w:p>
        </w:tc>
        <w:tc>
          <w:tcPr>
            <w:tcW w:w="6805" w:type="dxa"/>
            <w:shd w:val="clear" w:color="auto" w:fill="auto"/>
          </w:tcPr>
          <w:p w14:paraId="34931BB6" w14:textId="77777777" w:rsidR="000436BF" w:rsidRPr="005A78D4" w:rsidRDefault="000436BF" w:rsidP="00A272C7">
            <w:pPr>
              <w:ind w:firstLineChars="0" w:firstLine="0"/>
              <w:rPr>
                <w:szCs w:val="21"/>
              </w:rPr>
            </w:pPr>
            <w:r w:rsidRPr="005A78D4">
              <w:rPr>
                <w:szCs w:val="21"/>
              </w:rPr>
              <w:t>企业净购入的热力量，单位为吉焦（</w:t>
            </w:r>
            <w:r w:rsidRPr="005A78D4">
              <w:rPr>
                <w:szCs w:val="21"/>
              </w:rPr>
              <w:t>GJ</w:t>
            </w:r>
            <w:r w:rsidRPr="005A78D4">
              <w:rPr>
                <w:szCs w:val="21"/>
              </w:rPr>
              <w:t>）</w:t>
            </w:r>
          </w:p>
        </w:tc>
      </w:tr>
      <w:tr w:rsidR="000436BF" w:rsidRPr="005A78D4" w14:paraId="59946D04" w14:textId="77777777" w:rsidTr="00A272C7">
        <w:trPr>
          <w:jc w:val="right"/>
        </w:trPr>
        <w:tc>
          <w:tcPr>
            <w:tcW w:w="993" w:type="dxa"/>
            <w:shd w:val="clear" w:color="auto" w:fill="auto"/>
          </w:tcPr>
          <w:p w14:paraId="70DD0C11" w14:textId="77777777" w:rsidR="000436BF" w:rsidRPr="005A78D4" w:rsidRDefault="000436BF" w:rsidP="00A272C7">
            <w:pPr>
              <w:ind w:firstLineChars="0" w:firstLine="0"/>
              <w:rPr>
                <w:szCs w:val="21"/>
              </w:rPr>
            </w:pPr>
            <w:r w:rsidRPr="005A78D4">
              <w:rPr>
                <w:szCs w:val="21"/>
              </w:rPr>
              <w:t>EF</w:t>
            </w:r>
            <w:r w:rsidRPr="005A78D4">
              <w:rPr>
                <w:szCs w:val="21"/>
                <w:vertAlign w:val="subscript"/>
              </w:rPr>
              <w:t>电力</w:t>
            </w:r>
          </w:p>
        </w:tc>
        <w:tc>
          <w:tcPr>
            <w:tcW w:w="992" w:type="dxa"/>
          </w:tcPr>
          <w:p w14:paraId="6B24DC9D" w14:textId="77777777" w:rsidR="000436BF" w:rsidRPr="005A78D4" w:rsidRDefault="000436BF" w:rsidP="00A272C7">
            <w:pPr>
              <w:ind w:firstLineChars="0" w:firstLine="0"/>
              <w:rPr>
                <w:szCs w:val="21"/>
              </w:rPr>
            </w:pPr>
            <w:r w:rsidRPr="005A78D4">
              <w:rPr>
                <w:szCs w:val="21"/>
              </w:rPr>
              <w:t>——</w:t>
            </w:r>
          </w:p>
        </w:tc>
        <w:tc>
          <w:tcPr>
            <w:tcW w:w="6805" w:type="dxa"/>
            <w:shd w:val="clear" w:color="auto" w:fill="auto"/>
          </w:tcPr>
          <w:p w14:paraId="0030575E" w14:textId="77777777" w:rsidR="000436BF" w:rsidRPr="005A78D4" w:rsidRDefault="000436BF" w:rsidP="00A272C7">
            <w:pPr>
              <w:ind w:firstLineChars="0" w:firstLine="0"/>
              <w:rPr>
                <w:szCs w:val="21"/>
              </w:rPr>
            </w:pPr>
            <w:r w:rsidRPr="005A78D4">
              <w:rPr>
                <w:szCs w:val="21"/>
              </w:rPr>
              <w:t>电力的</w:t>
            </w:r>
            <w:r w:rsidRPr="005A78D4">
              <w:rPr>
                <w:szCs w:val="21"/>
              </w:rPr>
              <w:t>CO2</w:t>
            </w:r>
            <w:r w:rsidRPr="005A78D4">
              <w:rPr>
                <w:szCs w:val="21"/>
              </w:rPr>
              <w:t>排放因子，单位为吨</w:t>
            </w:r>
            <w:r w:rsidRPr="005A78D4">
              <w:rPr>
                <w:szCs w:val="21"/>
              </w:rPr>
              <w:t>CO2/</w:t>
            </w:r>
            <w:r w:rsidRPr="005A78D4">
              <w:rPr>
                <w:szCs w:val="21"/>
              </w:rPr>
              <w:t>兆瓦时（</w:t>
            </w:r>
            <w:r w:rsidRPr="005A78D4">
              <w:rPr>
                <w:szCs w:val="21"/>
              </w:rPr>
              <w:t>tCO</w:t>
            </w:r>
            <w:r w:rsidRPr="005A78D4">
              <w:rPr>
                <w:szCs w:val="21"/>
                <w:vertAlign w:val="subscript"/>
              </w:rPr>
              <w:t>2</w:t>
            </w:r>
            <w:r w:rsidRPr="005A78D4">
              <w:rPr>
                <w:szCs w:val="21"/>
              </w:rPr>
              <w:t>/MWh</w:t>
            </w:r>
            <w:r w:rsidRPr="005A78D4">
              <w:rPr>
                <w:szCs w:val="21"/>
              </w:rPr>
              <w:t>）</w:t>
            </w:r>
          </w:p>
        </w:tc>
      </w:tr>
      <w:tr w:rsidR="000436BF" w:rsidRPr="005A78D4" w14:paraId="762479A8" w14:textId="77777777" w:rsidTr="00A272C7">
        <w:trPr>
          <w:jc w:val="right"/>
        </w:trPr>
        <w:tc>
          <w:tcPr>
            <w:tcW w:w="993" w:type="dxa"/>
            <w:shd w:val="clear" w:color="auto" w:fill="auto"/>
          </w:tcPr>
          <w:p w14:paraId="2E271151" w14:textId="77777777" w:rsidR="000436BF" w:rsidRPr="005A78D4" w:rsidRDefault="000436BF" w:rsidP="00A272C7">
            <w:pPr>
              <w:ind w:firstLineChars="0" w:firstLine="0"/>
              <w:rPr>
                <w:szCs w:val="21"/>
              </w:rPr>
            </w:pPr>
            <w:r w:rsidRPr="005A78D4">
              <w:rPr>
                <w:szCs w:val="21"/>
              </w:rPr>
              <w:t>EF</w:t>
            </w:r>
            <w:r w:rsidRPr="005A78D4">
              <w:rPr>
                <w:szCs w:val="21"/>
                <w:vertAlign w:val="subscript"/>
              </w:rPr>
              <w:t>热力</w:t>
            </w:r>
          </w:p>
        </w:tc>
        <w:tc>
          <w:tcPr>
            <w:tcW w:w="992" w:type="dxa"/>
          </w:tcPr>
          <w:p w14:paraId="2BD010A4" w14:textId="77777777" w:rsidR="000436BF" w:rsidRPr="005A78D4" w:rsidRDefault="000436BF" w:rsidP="00A272C7">
            <w:pPr>
              <w:ind w:firstLineChars="0" w:firstLine="0"/>
              <w:rPr>
                <w:szCs w:val="21"/>
              </w:rPr>
            </w:pPr>
            <w:r w:rsidRPr="005A78D4">
              <w:rPr>
                <w:szCs w:val="21"/>
              </w:rPr>
              <w:t>——</w:t>
            </w:r>
          </w:p>
        </w:tc>
        <w:tc>
          <w:tcPr>
            <w:tcW w:w="6805" w:type="dxa"/>
            <w:shd w:val="clear" w:color="auto" w:fill="auto"/>
          </w:tcPr>
          <w:p w14:paraId="681B309A" w14:textId="77777777" w:rsidR="000436BF" w:rsidRPr="005A78D4" w:rsidRDefault="000436BF" w:rsidP="00A272C7">
            <w:pPr>
              <w:ind w:firstLineChars="0" w:firstLine="0"/>
              <w:rPr>
                <w:szCs w:val="21"/>
              </w:rPr>
            </w:pPr>
            <w:r w:rsidRPr="005A78D4">
              <w:rPr>
                <w:szCs w:val="21"/>
              </w:rPr>
              <w:t>热力的</w:t>
            </w:r>
            <w:r w:rsidRPr="005A78D4">
              <w:rPr>
                <w:szCs w:val="21"/>
              </w:rPr>
              <w:t>CO2</w:t>
            </w:r>
            <w:r w:rsidRPr="005A78D4">
              <w:rPr>
                <w:szCs w:val="21"/>
              </w:rPr>
              <w:t>排放因子，单位为吨</w:t>
            </w:r>
            <w:r w:rsidRPr="005A78D4">
              <w:rPr>
                <w:szCs w:val="21"/>
              </w:rPr>
              <w:t>CO2/</w:t>
            </w:r>
            <w:r w:rsidRPr="005A78D4">
              <w:rPr>
                <w:szCs w:val="21"/>
              </w:rPr>
              <w:t>百万千焦（</w:t>
            </w:r>
            <w:r w:rsidRPr="005A78D4">
              <w:rPr>
                <w:szCs w:val="21"/>
              </w:rPr>
              <w:t>tCO</w:t>
            </w:r>
            <w:r w:rsidRPr="005A78D4">
              <w:rPr>
                <w:szCs w:val="21"/>
                <w:vertAlign w:val="subscript"/>
              </w:rPr>
              <w:t>2</w:t>
            </w:r>
            <w:r w:rsidRPr="005A78D4">
              <w:rPr>
                <w:szCs w:val="21"/>
              </w:rPr>
              <w:t>/GJ</w:t>
            </w:r>
            <w:r w:rsidRPr="005A78D4">
              <w:rPr>
                <w:szCs w:val="21"/>
              </w:rPr>
              <w:t>）</w:t>
            </w:r>
          </w:p>
        </w:tc>
      </w:tr>
    </w:tbl>
    <w:p w14:paraId="7012E80D" w14:textId="77777777" w:rsidR="004B0C6D" w:rsidRPr="00746871" w:rsidRDefault="004B0C6D" w:rsidP="00503F4E">
      <w:pPr>
        <w:ind w:firstLine="420"/>
      </w:pPr>
    </w:p>
    <w:p w14:paraId="27EDC3B6" w14:textId="2F418B50" w:rsidR="000C5870" w:rsidRPr="00746871" w:rsidRDefault="000C5870" w:rsidP="00B01545">
      <w:pPr>
        <w:pStyle w:val="5"/>
        <w:ind w:firstLine="420"/>
      </w:pPr>
      <w:r w:rsidRPr="00746871">
        <w:rPr>
          <w:rFonts w:hint="eastAsia"/>
        </w:rPr>
        <w:lastRenderedPageBreak/>
        <w:t>7</w:t>
      </w:r>
      <w:r w:rsidRPr="00746871">
        <w:t xml:space="preserve">.2.5.3 </w:t>
      </w:r>
      <w:r w:rsidRPr="00746871">
        <w:rPr>
          <w:rFonts w:hint="eastAsia"/>
        </w:rPr>
        <w:t>计算化石燃料燃烧排放所用参数的核查要求</w:t>
      </w:r>
    </w:p>
    <w:p w14:paraId="1DFF4935" w14:textId="33BFB43A" w:rsidR="00A62E2E" w:rsidRPr="00746871" w:rsidRDefault="00A62E2E" w:rsidP="00A62E2E">
      <w:pPr>
        <w:ind w:firstLine="420"/>
      </w:pPr>
      <w:r w:rsidRPr="00746871">
        <w:rPr>
          <w:rFonts w:hint="eastAsia"/>
        </w:rPr>
        <w:t>化石燃料燃烧排放核算涉及到的参数包括化石燃料的净消耗量、平均低位发热量、单位热值含碳量、碳氧化率，各项参数的数据核查要求见表</w:t>
      </w:r>
      <w:r w:rsidRPr="00746871">
        <w:rPr>
          <w:rFonts w:hint="eastAsia"/>
        </w:rPr>
        <w:t>1</w:t>
      </w:r>
      <w:r w:rsidR="00453AFE" w:rsidRPr="00746871">
        <w:rPr>
          <w:rFonts w:hint="eastAsia"/>
        </w:rPr>
        <w:t>～</w:t>
      </w:r>
      <w:r w:rsidRPr="00746871">
        <w:rPr>
          <w:rFonts w:hint="eastAsia"/>
        </w:rPr>
        <w:t>表</w:t>
      </w:r>
      <w:r w:rsidR="00EA70F8" w:rsidRPr="00746871">
        <w:t>3</w:t>
      </w:r>
      <w:r w:rsidRPr="00746871">
        <w:rPr>
          <w:rFonts w:hint="eastAsia"/>
        </w:rPr>
        <w:t>。</w:t>
      </w:r>
    </w:p>
    <w:p w14:paraId="65A835CB" w14:textId="77777777" w:rsidR="001744AD" w:rsidRPr="00746871" w:rsidRDefault="001744AD" w:rsidP="00BA0470">
      <w:pPr>
        <w:ind w:firstLine="420"/>
      </w:pPr>
    </w:p>
    <w:p w14:paraId="012487CA" w14:textId="77777777" w:rsidR="0063403F" w:rsidRPr="00746871" w:rsidRDefault="0063403F" w:rsidP="0063403F">
      <w:pPr>
        <w:ind w:firstLine="420"/>
        <w:jc w:val="center"/>
      </w:pPr>
      <w:r w:rsidRPr="00746871">
        <w:rPr>
          <w:rFonts w:hint="eastAsia"/>
        </w:rPr>
        <w:t>表</w:t>
      </w:r>
      <w:r w:rsidRPr="00746871">
        <w:rPr>
          <w:rFonts w:hint="eastAsia"/>
        </w:rPr>
        <w:t>1</w:t>
      </w:r>
      <w:r w:rsidRPr="00746871">
        <w:t xml:space="preserve"> </w:t>
      </w:r>
      <w:r w:rsidRPr="00746871">
        <w:rPr>
          <w:rFonts w:hint="eastAsia"/>
        </w:rPr>
        <w:t>核算和报告年度内化石燃料的净消耗量</w:t>
      </w:r>
    </w:p>
    <w:p w14:paraId="7179F818" w14:textId="77777777" w:rsidR="0063403F" w:rsidRPr="00746871" w:rsidRDefault="0063403F" w:rsidP="00BA0470">
      <w:pPr>
        <w:ind w:firstLine="420"/>
      </w:pPr>
    </w:p>
    <w:tbl>
      <w:tblPr>
        <w:tblStyle w:val="afc"/>
        <w:tblW w:w="0" w:type="auto"/>
        <w:tblLook w:val="04A0" w:firstRow="1" w:lastRow="0" w:firstColumn="1" w:lastColumn="0" w:noHBand="0" w:noVBand="1"/>
      </w:tblPr>
      <w:tblGrid>
        <w:gridCol w:w="1555"/>
        <w:gridCol w:w="7789"/>
      </w:tblGrid>
      <w:tr w:rsidR="0063403F" w:rsidRPr="00746871" w14:paraId="5AD78B17" w14:textId="77777777" w:rsidTr="00A10A9B">
        <w:tc>
          <w:tcPr>
            <w:tcW w:w="1555" w:type="dxa"/>
          </w:tcPr>
          <w:p w14:paraId="6F2F94E6" w14:textId="77777777" w:rsidR="0063403F" w:rsidRPr="00746871" w:rsidRDefault="0063403F" w:rsidP="00B62B70">
            <w:pPr>
              <w:ind w:firstLineChars="0" w:firstLine="0"/>
            </w:pPr>
            <w:r w:rsidRPr="00746871">
              <w:rPr>
                <w:rFonts w:hint="eastAsia"/>
              </w:rPr>
              <w:t>参数</w:t>
            </w:r>
            <w:r w:rsidRPr="00746871">
              <w:rPr>
                <w:rFonts w:hint="eastAsia"/>
              </w:rPr>
              <w:t>1</w:t>
            </w:r>
          </w:p>
        </w:tc>
        <w:tc>
          <w:tcPr>
            <w:tcW w:w="7789" w:type="dxa"/>
          </w:tcPr>
          <w:p w14:paraId="0F701B64" w14:textId="77777777" w:rsidR="0063403F" w:rsidRPr="00746871" w:rsidRDefault="0063403F" w:rsidP="00B62B70">
            <w:pPr>
              <w:ind w:firstLineChars="0" w:firstLine="0"/>
            </w:pPr>
            <w:r w:rsidRPr="00746871">
              <w:rPr>
                <w:rFonts w:hint="eastAsia"/>
              </w:rPr>
              <w:t>核算和报告年度内化石燃料的净消耗量</w:t>
            </w:r>
          </w:p>
        </w:tc>
      </w:tr>
      <w:tr w:rsidR="0063403F" w:rsidRPr="00746871" w14:paraId="402106E1" w14:textId="77777777" w:rsidTr="00A10A9B">
        <w:tc>
          <w:tcPr>
            <w:tcW w:w="1555" w:type="dxa"/>
          </w:tcPr>
          <w:p w14:paraId="19FFE14D" w14:textId="77777777" w:rsidR="0063403F" w:rsidRPr="00746871" w:rsidRDefault="0063403F" w:rsidP="00B62B70">
            <w:pPr>
              <w:ind w:firstLineChars="0" w:firstLine="0"/>
            </w:pPr>
            <w:r w:rsidRPr="00746871">
              <w:rPr>
                <w:rFonts w:hint="eastAsia"/>
              </w:rPr>
              <w:t>单位</w:t>
            </w:r>
          </w:p>
        </w:tc>
        <w:tc>
          <w:tcPr>
            <w:tcW w:w="7789" w:type="dxa"/>
          </w:tcPr>
          <w:p w14:paraId="087308B0" w14:textId="77777777" w:rsidR="0063403F" w:rsidRPr="00746871" w:rsidRDefault="0063403F" w:rsidP="00B62B70">
            <w:pPr>
              <w:ind w:firstLineChars="0" w:firstLine="0"/>
            </w:pPr>
            <w:r w:rsidRPr="00746871">
              <w:rPr>
                <w:rFonts w:hint="eastAsia"/>
              </w:rPr>
              <w:t>对固体和液体燃料，单位为吨（</w:t>
            </w:r>
            <w:r w:rsidRPr="00746871">
              <w:rPr>
                <w:rFonts w:hint="eastAsia"/>
              </w:rPr>
              <w:t>t</w:t>
            </w:r>
            <w:r w:rsidRPr="00746871">
              <w:rPr>
                <w:rFonts w:hint="eastAsia"/>
              </w:rPr>
              <w:t>）</w:t>
            </w:r>
            <w:r w:rsidRPr="00746871">
              <w:rPr>
                <w:rFonts w:hint="eastAsia"/>
              </w:rPr>
              <w:t>;</w:t>
            </w:r>
            <w:r w:rsidRPr="00746871">
              <w:rPr>
                <w:rFonts w:hint="eastAsia"/>
              </w:rPr>
              <w:t>对气体燃料，单位为万标立方米（</w:t>
            </w:r>
            <w:r w:rsidRPr="00746871">
              <w:rPr>
                <w:rFonts w:hint="eastAsia"/>
              </w:rPr>
              <w:t>1</w:t>
            </w:r>
            <w:r w:rsidRPr="00746871">
              <w:t>0</w:t>
            </w:r>
            <w:r w:rsidRPr="00746871">
              <w:rPr>
                <w:vertAlign w:val="superscript"/>
              </w:rPr>
              <w:t>4</w:t>
            </w:r>
            <w:r w:rsidRPr="00746871">
              <w:t>N</w:t>
            </w:r>
            <w:r w:rsidRPr="00746871">
              <w:rPr>
                <w:rFonts w:hint="eastAsia"/>
              </w:rPr>
              <w:t>m</w:t>
            </w:r>
            <w:r w:rsidRPr="00746871">
              <w:rPr>
                <w:vertAlign w:val="superscript"/>
              </w:rPr>
              <w:t>3</w:t>
            </w:r>
            <w:r w:rsidRPr="00746871">
              <w:rPr>
                <w:rFonts w:hint="eastAsia"/>
              </w:rPr>
              <w:t>）</w:t>
            </w:r>
          </w:p>
        </w:tc>
      </w:tr>
      <w:tr w:rsidR="0063403F" w:rsidRPr="00746871" w14:paraId="0436E3B3" w14:textId="77777777" w:rsidTr="00A10A9B">
        <w:tc>
          <w:tcPr>
            <w:tcW w:w="1555" w:type="dxa"/>
          </w:tcPr>
          <w:p w14:paraId="4E11AF64" w14:textId="77777777" w:rsidR="0063403F" w:rsidRPr="00746871" w:rsidRDefault="0063403F" w:rsidP="00B62B70">
            <w:pPr>
              <w:ind w:firstLineChars="0" w:firstLine="0"/>
            </w:pPr>
            <w:r w:rsidRPr="00746871">
              <w:rPr>
                <w:rFonts w:hint="eastAsia"/>
              </w:rPr>
              <w:t>数据来源</w:t>
            </w:r>
          </w:p>
        </w:tc>
        <w:tc>
          <w:tcPr>
            <w:tcW w:w="7789" w:type="dxa"/>
          </w:tcPr>
          <w:p w14:paraId="17827E60" w14:textId="77777777" w:rsidR="0063403F" w:rsidRPr="00746871" w:rsidRDefault="0063403F" w:rsidP="00B62B70">
            <w:pPr>
              <w:ind w:firstLineChars="0" w:firstLine="0"/>
            </w:pPr>
            <w:r w:rsidRPr="00746871">
              <w:rPr>
                <w:rFonts w:hint="eastAsia"/>
              </w:rPr>
              <w:t>企业能源消费台账或统计报表</w:t>
            </w:r>
          </w:p>
        </w:tc>
      </w:tr>
      <w:tr w:rsidR="0063403F" w:rsidRPr="00746871" w14:paraId="60CA8D3A" w14:textId="77777777" w:rsidTr="00A10A9B">
        <w:tc>
          <w:tcPr>
            <w:tcW w:w="1555" w:type="dxa"/>
          </w:tcPr>
          <w:p w14:paraId="48C9EDB1" w14:textId="77777777" w:rsidR="0063403F" w:rsidRPr="00746871" w:rsidRDefault="0063403F" w:rsidP="00B62B70">
            <w:pPr>
              <w:ind w:firstLineChars="0" w:firstLine="0"/>
            </w:pPr>
            <w:r w:rsidRPr="00746871">
              <w:rPr>
                <w:rFonts w:hint="eastAsia"/>
              </w:rPr>
              <w:t>监测方法</w:t>
            </w:r>
          </w:p>
        </w:tc>
        <w:tc>
          <w:tcPr>
            <w:tcW w:w="7789" w:type="dxa"/>
          </w:tcPr>
          <w:p w14:paraId="05B08AD4" w14:textId="77777777" w:rsidR="0063403F" w:rsidRPr="00746871" w:rsidRDefault="0063403F" w:rsidP="00B62B70">
            <w:pPr>
              <w:ind w:firstLineChars="0" w:firstLine="0"/>
            </w:pPr>
            <w:r w:rsidRPr="00746871">
              <w:rPr>
                <w:rFonts w:hint="eastAsia"/>
              </w:rPr>
              <w:t>连续监测</w:t>
            </w:r>
          </w:p>
        </w:tc>
      </w:tr>
      <w:tr w:rsidR="0063403F" w:rsidRPr="00746871" w14:paraId="78EB3C2B" w14:textId="77777777" w:rsidTr="00A10A9B">
        <w:tc>
          <w:tcPr>
            <w:tcW w:w="1555" w:type="dxa"/>
          </w:tcPr>
          <w:p w14:paraId="5598DC56" w14:textId="77777777" w:rsidR="0063403F" w:rsidRPr="00746871" w:rsidRDefault="0063403F" w:rsidP="00B62B70">
            <w:pPr>
              <w:ind w:firstLineChars="0" w:firstLine="0"/>
            </w:pPr>
            <w:r w:rsidRPr="00746871">
              <w:rPr>
                <w:rFonts w:hint="eastAsia"/>
              </w:rPr>
              <w:t>记录频次</w:t>
            </w:r>
          </w:p>
        </w:tc>
        <w:tc>
          <w:tcPr>
            <w:tcW w:w="7789" w:type="dxa"/>
          </w:tcPr>
          <w:p w14:paraId="6449A927" w14:textId="77777777" w:rsidR="0063403F" w:rsidRPr="00746871" w:rsidRDefault="0063403F" w:rsidP="00B62B70">
            <w:pPr>
              <w:ind w:firstLineChars="0" w:firstLine="0"/>
            </w:pPr>
            <w:r w:rsidRPr="00746871">
              <w:rPr>
                <w:rFonts w:hint="eastAsia"/>
              </w:rPr>
              <w:t>每日至少一次</w:t>
            </w:r>
          </w:p>
        </w:tc>
      </w:tr>
      <w:tr w:rsidR="0063403F" w:rsidRPr="00746871" w14:paraId="0A380676" w14:textId="77777777" w:rsidTr="00A10A9B">
        <w:tc>
          <w:tcPr>
            <w:tcW w:w="1555" w:type="dxa"/>
          </w:tcPr>
          <w:p w14:paraId="33F4E001" w14:textId="77777777" w:rsidR="0063403F" w:rsidRPr="00746871" w:rsidRDefault="000F288C" w:rsidP="00B62B70">
            <w:pPr>
              <w:ind w:firstLineChars="0" w:firstLine="0"/>
            </w:pPr>
            <w:r w:rsidRPr="00746871">
              <w:rPr>
                <w:rFonts w:hint="eastAsia"/>
              </w:rPr>
              <w:t>核查方法</w:t>
            </w:r>
          </w:p>
        </w:tc>
        <w:tc>
          <w:tcPr>
            <w:tcW w:w="7789" w:type="dxa"/>
          </w:tcPr>
          <w:p w14:paraId="544265BF" w14:textId="77777777" w:rsidR="0063403F" w:rsidRPr="00746871" w:rsidRDefault="000F288C" w:rsidP="00F63A75">
            <w:pPr>
              <w:pStyle w:val="afa"/>
              <w:numPr>
                <w:ilvl w:val="0"/>
                <w:numId w:val="9"/>
              </w:numPr>
              <w:ind w:left="0" w:firstLineChars="0" w:firstLine="0"/>
            </w:pPr>
            <w:r w:rsidRPr="00746871">
              <w:rPr>
                <w:rFonts w:hint="eastAsia"/>
              </w:rPr>
              <w:t>现场审核：核查员应现场查看化石燃料消费量监测设备，确认校准有效期，询问记录人员监测方法、监测频次、统计口径等，询问核算报告的消费量数据来源</w:t>
            </w:r>
            <w:r w:rsidR="00F71571" w:rsidRPr="00746871">
              <w:rPr>
                <w:rFonts w:hint="eastAsia"/>
              </w:rPr>
              <w:t>；</w:t>
            </w:r>
          </w:p>
          <w:p w14:paraId="124632FF" w14:textId="77777777" w:rsidR="00F71571" w:rsidRPr="00746871" w:rsidRDefault="00F71571" w:rsidP="00F63A75">
            <w:pPr>
              <w:pStyle w:val="afa"/>
              <w:numPr>
                <w:ilvl w:val="0"/>
                <w:numId w:val="9"/>
              </w:numPr>
              <w:ind w:left="0" w:firstLineChars="0" w:firstLine="0"/>
            </w:pPr>
            <w:r w:rsidRPr="00746871">
              <w:rPr>
                <w:rFonts w:hint="eastAsia"/>
              </w:rPr>
              <w:t>文件审核：根据核算报告的数据来源，对报告期内所有数据进行核对，确认是否职称核算报告的数据；</w:t>
            </w:r>
          </w:p>
          <w:p w14:paraId="2A1F159D" w14:textId="77777777" w:rsidR="00F71571" w:rsidRPr="00746871" w:rsidRDefault="00F71571" w:rsidP="00F63A75">
            <w:pPr>
              <w:pStyle w:val="afa"/>
              <w:numPr>
                <w:ilvl w:val="0"/>
                <w:numId w:val="9"/>
              </w:numPr>
              <w:ind w:left="0" w:firstLineChars="0" w:firstLine="0"/>
            </w:pPr>
            <w:r w:rsidRPr="00746871">
              <w:rPr>
                <w:rFonts w:hint="eastAsia"/>
              </w:rPr>
              <w:t>交叉核对：</w:t>
            </w:r>
            <w:r w:rsidR="00A10A9B" w:rsidRPr="00746871">
              <w:rPr>
                <w:rFonts w:hint="eastAsia"/>
              </w:rPr>
              <w:t>将生产指标日报表、化石燃料购买记录、库存记录、记账凭证、能源平衡表、供应商发票等信息进行交叉核对，当交叉核对数据存在差异时，应分析差异的原因，最终确认数据来源的合理性和准确性。如果差异无法合理解释，则核查员应根据专业能力判断或保守原则处理；</w:t>
            </w:r>
          </w:p>
          <w:p w14:paraId="058CEBA0" w14:textId="77777777" w:rsidR="00A10A9B" w:rsidRPr="00746871" w:rsidRDefault="00375B6B" w:rsidP="00F63A75">
            <w:pPr>
              <w:pStyle w:val="afa"/>
              <w:numPr>
                <w:ilvl w:val="0"/>
                <w:numId w:val="9"/>
              </w:numPr>
              <w:ind w:left="0" w:firstLineChars="0" w:firstLine="0"/>
            </w:pPr>
            <w:r w:rsidRPr="00746871">
              <w:rPr>
                <w:rFonts w:hint="eastAsia"/>
              </w:rPr>
              <w:t>核查结论：根据确认的有效数据来源及化石燃料消费量，与上一年度的结论进行比较，如变化较大，简单说明原因，核查员应在核查报告中描述具体数值及上一年度的变化情况</w:t>
            </w:r>
          </w:p>
        </w:tc>
      </w:tr>
    </w:tbl>
    <w:p w14:paraId="225C8C39" w14:textId="77777777" w:rsidR="00BA0470" w:rsidRPr="00746871" w:rsidRDefault="00BA0470" w:rsidP="00BA0470">
      <w:pPr>
        <w:ind w:firstLine="420"/>
      </w:pPr>
    </w:p>
    <w:p w14:paraId="537C38C1" w14:textId="77777777" w:rsidR="00174D6E" w:rsidRPr="00746871" w:rsidRDefault="00174D6E" w:rsidP="00174D6E">
      <w:pPr>
        <w:ind w:firstLine="420"/>
        <w:jc w:val="center"/>
      </w:pPr>
      <w:r w:rsidRPr="00746871">
        <w:rPr>
          <w:rFonts w:hint="eastAsia"/>
        </w:rPr>
        <w:t>表</w:t>
      </w:r>
      <w:r w:rsidRPr="00746871">
        <w:rPr>
          <w:rFonts w:hint="eastAsia"/>
        </w:rPr>
        <w:t>2</w:t>
      </w:r>
      <w:r w:rsidRPr="00746871">
        <w:t xml:space="preserve"> </w:t>
      </w:r>
      <w:r w:rsidRPr="00746871">
        <w:rPr>
          <w:rFonts w:hint="eastAsia"/>
        </w:rPr>
        <w:t>核算和报告年度内化石燃料的平均低位发热量</w:t>
      </w:r>
    </w:p>
    <w:tbl>
      <w:tblPr>
        <w:tblStyle w:val="afc"/>
        <w:tblW w:w="0" w:type="auto"/>
        <w:tblLook w:val="04A0" w:firstRow="1" w:lastRow="0" w:firstColumn="1" w:lastColumn="0" w:noHBand="0" w:noVBand="1"/>
      </w:tblPr>
      <w:tblGrid>
        <w:gridCol w:w="1555"/>
        <w:gridCol w:w="7789"/>
      </w:tblGrid>
      <w:tr w:rsidR="00174D6E" w:rsidRPr="00746871" w14:paraId="0CE5D69F" w14:textId="77777777" w:rsidTr="00C7357A">
        <w:tc>
          <w:tcPr>
            <w:tcW w:w="1555" w:type="dxa"/>
          </w:tcPr>
          <w:p w14:paraId="35E3922B" w14:textId="77777777" w:rsidR="00174D6E" w:rsidRPr="00746871" w:rsidRDefault="00174D6E" w:rsidP="00B62B70">
            <w:pPr>
              <w:ind w:firstLineChars="0" w:firstLine="0"/>
            </w:pPr>
            <w:r w:rsidRPr="00746871">
              <w:rPr>
                <w:rFonts w:hint="eastAsia"/>
              </w:rPr>
              <w:t>参数</w:t>
            </w:r>
            <w:r w:rsidRPr="00746871">
              <w:rPr>
                <w:rFonts w:hint="eastAsia"/>
              </w:rPr>
              <w:t>2</w:t>
            </w:r>
          </w:p>
        </w:tc>
        <w:tc>
          <w:tcPr>
            <w:tcW w:w="7789" w:type="dxa"/>
          </w:tcPr>
          <w:p w14:paraId="766B493E" w14:textId="77777777" w:rsidR="00174D6E" w:rsidRPr="00746871" w:rsidRDefault="00174D6E" w:rsidP="00B62B70">
            <w:pPr>
              <w:ind w:firstLineChars="0" w:firstLine="0"/>
            </w:pPr>
            <w:r w:rsidRPr="00746871">
              <w:rPr>
                <w:rFonts w:hint="eastAsia"/>
              </w:rPr>
              <w:t>核算和报告年度内化石燃料的平均低位发热量</w:t>
            </w:r>
          </w:p>
        </w:tc>
      </w:tr>
      <w:tr w:rsidR="00174D6E" w:rsidRPr="00746871" w14:paraId="2CF4D6C8" w14:textId="77777777" w:rsidTr="00C7357A">
        <w:tc>
          <w:tcPr>
            <w:tcW w:w="1555" w:type="dxa"/>
          </w:tcPr>
          <w:p w14:paraId="6867586B" w14:textId="77777777" w:rsidR="00174D6E" w:rsidRPr="00746871" w:rsidRDefault="00174D6E" w:rsidP="00B62B70">
            <w:pPr>
              <w:ind w:firstLineChars="0" w:firstLine="0"/>
            </w:pPr>
            <w:r w:rsidRPr="00746871">
              <w:rPr>
                <w:rFonts w:hint="eastAsia"/>
              </w:rPr>
              <w:t>单位</w:t>
            </w:r>
          </w:p>
        </w:tc>
        <w:tc>
          <w:tcPr>
            <w:tcW w:w="7789" w:type="dxa"/>
          </w:tcPr>
          <w:p w14:paraId="5FB7E5B9" w14:textId="7F299D80" w:rsidR="00174D6E" w:rsidRPr="00746871" w:rsidRDefault="00174D6E" w:rsidP="009C3BE1">
            <w:pPr>
              <w:ind w:firstLineChars="0" w:firstLine="0"/>
            </w:pPr>
            <w:r w:rsidRPr="00746871">
              <w:rPr>
                <w:rFonts w:hint="eastAsia"/>
              </w:rPr>
              <w:t>对固体和液体燃料，单位为</w:t>
            </w:r>
            <w:r w:rsidR="009C3BE1" w:rsidRPr="00746871">
              <w:rPr>
                <w:rFonts w:hint="eastAsia"/>
              </w:rPr>
              <w:t>吉焦</w:t>
            </w:r>
            <w:r w:rsidR="009C3BE1" w:rsidRPr="00746871">
              <w:t>每</w:t>
            </w:r>
            <w:r w:rsidRPr="00746871">
              <w:rPr>
                <w:rFonts w:hint="eastAsia"/>
              </w:rPr>
              <w:t>吨（</w:t>
            </w:r>
            <w:r w:rsidR="009C3BE1" w:rsidRPr="00746871">
              <w:rPr>
                <w:rFonts w:hint="eastAsia"/>
              </w:rPr>
              <w:t>GJ/</w:t>
            </w:r>
            <w:r w:rsidRPr="00746871">
              <w:rPr>
                <w:rFonts w:hint="eastAsia"/>
              </w:rPr>
              <w:t>t</w:t>
            </w:r>
            <w:r w:rsidRPr="00746871">
              <w:rPr>
                <w:rFonts w:hint="eastAsia"/>
              </w:rPr>
              <w:t>）</w:t>
            </w:r>
            <w:r w:rsidRPr="00746871">
              <w:rPr>
                <w:rFonts w:hint="eastAsia"/>
              </w:rPr>
              <w:t>;</w:t>
            </w:r>
            <w:r w:rsidRPr="00746871">
              <w:rPr>
                <w:rFonts w:hint="eastAsia"/>
              </w:rPr>
              <w:t>对气体燃料，单位为</w:t>
            </w:r>
            <w:r w:rsidR="009C3BE1" w:rsidRPr="00746871">
              <w:rPr>
                <w:rFonts w:hint="eastAsia"/>
              </w:rPr>
              <w:t>吉焦</w:t>
            </w:r>
            <w:r w:rsidR="009C3BE1" w:rsidRPr="00746871">
              <w:t>每</w:t>
            </w:r>
            <w:r w:rsidRPr="00746871">
              <w:rPr>
                <w:rFonts w:hint="eastAsia"/>
              </w:rPr>
              <w:t>万标立方米（</w:t>
            </w:r>
            <w:r w:rsidR="009C3BE1" w:rsidRPr="00746871">
              <w:rPr>
                <w:rFonts w:hint="eastAsia"/>
              </w:rPr>
              <w:t>GJ/</w:t>
            </w:r>
            <w:r w:rsidRPr="00746871">
              <w:rPr>
                <w:rFonts w:hint="eastAsia"/>
              </w:rPr>
              <w:t>1</w:t>
            </w:r>
            <w:r w:rsidRPr="00746871">
              <w:t>0</w:t>
            </w:r>
            <w:r w:rsidRPr="00746871">
              <w:rPr>
                <w:vertAlign w:val="superscript"/>
              </w:rPr>
              <w:t>4</w:t>
            </w:r>
            <w:r w:rsidRPr="00746871">
              <w:t>N</w:t>
            </w:r>
            <w:r w:rsidRPr="00746871">
              <w:rPr>
                <w:rFonts w:hint="eastAsia"/>
              </w:rPr>
              <w:t>m</w:t>
            </w:r>
            <w:r w:rsidRPr="00746871">
              <w:rPr>
                <w:vertAlign w:val="superscript"/>
              </w:rPr>
              <w:t>3</w:t>
            </w:r>
            <w:r w:rsidRPr="00746871">
              <w:rPr>
                <w:rFonts w:hint="eastAsia"/>
              </w:rPr>
              <w:t>）</w:t>
            </w:r>
          </w:p>
        </w:tc>
      </w:tr>
      <w:tr w:rsidR="00174D6E" w:rsidRPr="00746871" w14:paraId="4E88C287" w14:textId="77777777" w:rsidTr="00C7357A">
        <w:tc>
          <w:tcPr>
            <w:tcW w:w="1555" w:type="dxa"/>
          </w:tcPr>
          <w:p w14:paraId="47E071B3" w14:textId="77777777" w:rsidR="00174D6E" w:rsidRPr="00746871" w:rsidRDefault="00174D6E" w:rsidP="00B62B70">
            <w:pPr>
              <w:ind w:firstLineChars="0" w:firstLine="0"/>
            </w:pPr>
            <w:r w:rsidRPr="00746871">
              <w:rPr>
                <w:rFonts w:hint="eastAsia"/>
              </w:rPr>
              <w:t>数据来源</w:t>
            </w:r>
          </w:p>
        </w:tc>
        <w:tc>
          <w:tcPr>
            <w:tcW w:w="7789" w:type="dxa"/>
          </w:tcPr>
          <w:p w14:paraId="0876BEF7" w14:textId="77777777" w:rsidR="00174D6E" w:rsidRPr="00746871" w:rsidRDefault="00174D6E" w:rsidP="00B62B70">
            <w:pPr>
              <w:ind w:firstLineChars="0" w:firstLine="0"/>
            </w:pPr>
            <w:r w:rsidRPr="00746871">
              <w:rPr>
                <w:rFonts w:hint="eastAsia"/>
              </w:rPr>
              <w:t>热值检测报告</w:t>
            </w:r>
            <w:r w:rsidR="00F43362" w:rsidRPr="00746871">
              <w:rPr>
                <w:rFonts w:hint="eastAsia"/>
              </w:rPr>
              <w:t>或者默认值</w:t>
            </w:r>
          </w:p>
        </w:tc>
      </w:tr>
      <w:tr w:rsidR="00174D6E" w:rsidRPr="00746871" w14:paraId="51D2D52A" w14:textId="77777777" w:rsidTr="00C7357A">
        <w:tc>
          <w:tcPr>
            <w:tcW w:w="1555" w:type="dxa"/>
          </w:tcPr>
          <w:p w14:paraId="6F9B82BE" w14:textId="77777777" w:rsidR="00174D6E" w:rsidRPr="00746871" w:rsidRDefault="00F43362" w:rsidP="00B62B70">
            <w:pPr>
              <w:ind w:firstLineChars="0" w:firstLine="0"/>
            </w:pPr>
            <w:r w:rsidRPr="00746871">
              <w:rPr>
                <w:rFonts w:hint="eastAsia"/>
              </w:rPr>
              <w:t>监测方法</w:t>
            </w:r>
          </w:p>
        </w:tc>
        <w:tc>
          <w:tcPr>
            <w:tcW w:w="7789" w:type="dxa"/>
          </w:tcPr>
          <w:p w14:paraId="3BF39ABA" w14:textId="35591942" w:rsidR="009C5B70" w:rsidRPr="00746871" w:rsidRDefault="009C5B70" w:rsidP="00B62B70">
            <w:pPr>
              <w:ind w:firstLineChars="0" w:firstLine="0"/>
            </w:pPr>
            <w:r w:rsidRPr="00746871">
              <w:rPr>
                <w:rFonts w:hint="eastAsia"/>
              </w:rPr>
              <w:t>化石燃料</w:t>
            </w:r>
            <w:r w:rsidR="00F43362" w:rsidRPr="00746871">
              <w:rPr>
                <w:rFonts w:hint="eastAsia"/>
              </w:rPr>
              <w:t>的低位发热量的具体测量方法</w:t>
            </w:r>
            <w:r w:rsidRPr="00746871">
              <w:rPr>
                <w:rFonts w:hint="eastAsia"/>
              </w:rPr>
              <w:t>应遵循</w:t>
            </w:r>
            <w:r w:rsidRPr="00746871">
              <w:rPr>
                <w:rFonts w:hint="eastAsia"/>
              </w:rPr>
              <w:t>G</w:t>
            </w:r>
            <w:r w:rsidRPr="00746871">
              <w:t>B/T213</w:t>
            </w:r>
            <w:r w:rsidRPr="00746871">
              <w:rPr>
                <w:rFonts w:hint="eastAsia"/>
              </w:rPr>
              <w:t>、</w:t>
            </w:r>
            <w:r w:rsidRPr="00746871">
              <w:rPr>
                <w:rFonts w:hint="eastAsia"/>
              </w:rPr>
              <w:t>G</w:t>
            </w:r>
            <w:r w:rsidRPr="00746871">
              <w:t>B/</w:t>
            </w:r>
            <w:r w:rsidR="009C3BE1" w:rsidRPr="00746871">
              <w:t>T 11062</w:t>
            </w:r>
            <w:r w:rsidR="00965EE1" w:rsidRPr="00746871">
              <w:rPr>
                <w:rFonts w:hint="eastAsia"/>
              </w:rPr>
              <w:t>等</w:t>
            </w:r>
            <w:r w:rsidR="00143C48" w:rsidRPr="00746871">
              <w:rPr>
                <w:rFonts w:hint="eastAsia"/>
              </w:rPr>
              <w:t>相关规定</w:t>
            </w:r>
            <w:r w:rsidR="00060FF6" w:rsidRPr="00746871">
              <w:rPr>
                <w:rFonts w:hint="eastAsia"/>
              </w:rPr>
              <w:t>；</w:t>
            </w:r>
          </w:p>
          <w:p w14:paraId="0B839409" w14:textId="6046ABC6" w:rsidR="00684B3A" w:rsidRPr="00746871" w:rsidRDefault="00F43362" w:rsidP="00B62B70">
            <w:pPr>
              <w:ind w:firstLineChars="0" w:firstLine="0"/>
            </w:pPr>
            <w:r w:rsidRPr="00746871">
              <w:rPr>
                <w:rFonts w:hint="eastAsia"/>
              </w:rPr>
              <w:t>实验室及设备仪器标准应遵循</w:t>
            </w:r>
            <w:r w:rsidR="009C3BE1" w:rsidRPr="00746871">
              <w:rPr>
                <w:rFonts w:hint="eastAsia"/>
              </w:rPr>
              <w:t>GB</w:t>
            </w:r>
            <w:r w:rsidR="009C3BE1" w:rsidRPr="00746871">
              <w:t>1</w:t>
            </w:r>
            <w:r w:rsidR="007B016B" w:rsidRPr="00746871">
              <w:t>7167</w:t>
            </w:r>
            <w:r w:rsidR="009C3BE1" w:rsidRPr="00746871">
              <w:rPr>
                <w:rFonts w:hint="eastAsia"/>
              </w:rPr>
              <w:t>和</w:t>
            </w:r>
            <w:r w:rsidRPr="00746871">
              <w:t>GB/T 24851</w:t>
            </w:r>
            <w:r w:rsidRPr="00746871">
              <w:rPr>
                <w:rFonts w:hint="eastAsia"/>
              </w:rPr>
              <w:t>的相关规定</w:t>
            </w:r>
            <w:r w:rsidR="00060FF6" w:rsidRPr="00746871">
              <w:rPr>
                <w:rFonts w:hint="eastAsia"/>
              </w:rPr>
              <w:t>；</w:t>
            </w:r>
          </w:p>
        </w:tc>
      </w:tr>
      <w:tr w:rsidR="00174D6E" w:rsidRPr="00746871" w14:paraId="7F36E54E" w14:textId="77777777" w:rsidTr="00C7357A">
        <w:tc>
          <w:tcPr>
            <w:tcW w:w="1555" w:type="dxa"/>
          </w:tcPr>
          <w:p w14:paraId="2048996E" w14:textId="77777777" w:rsidR="00174D6E" w:rsidRPr="00746871" w:rsidRDefault="00060FF6" w:rsidP="00B62B70">
            <w:pPr>
              <w:ind w:firstLineChars="0" w:firstLine="0"/>
            </w:pPr>
            <w:r w:rsidRPr="00746871">
              <w:rPr>
                <w:rFonts w:hint="eastAsia"/>
              </w:rPr>
              <w:t>监测频次</w:t>
            </w:r>
          </w:p>
        </w:tc>
        <w:tc>
          <w:tcPr>
            <w:tcW w:w="7789" w:type="dxa"/>
          </w:tcPr>
          <w:p w14:paraId="1C32DD64" w14:textId="77777777" w:rsidR="00D6575E" w:rsidRPr="00746871" w:rsidRDefault="00EE2EB4" w:rsidP="00B62B70">
            <w:pPr>
              <w:ind w:firstLineChars="0" w:firstLine="0"/>
            </w:pPr>
            <w:r w:rsidRPr="00746871">
              <w:rPr>
                <w:rFonts w:hint="eastAsia"/>
              </w:rPr>
              <w:t>煤炭应在每批次燃料入厂时或每月至少进行一次检测，以燃料入场量或月消费量加权平均作为该燃料品种的低位发热量；</w:t>
            </w:r>
          </w:p>
          <w:p w14:paraId="6664034B" w14:textId="77777777" w:rsidR="00EE2EB4" w:rsidRPr="00746871" w:rsidRDefault="00EE2EB4" w:rsidP="00B62B70">
            <w:pPr>
              <w:ind w:firstLineChars="0" w:firstLine="0"/>
            </w:pPr>
            <w:r w:rsidRPr="00746871">
              <w:rPr>
                <w:rFonts w:hint="eastAsia"/>
              </w:rPr>
              <w:t>对油品可在每批次燃料入厂时或每季度进行一次检测，取</w:t>
            </w:r>
            <w:r w:rsidR="00A03C7B" w:rsidRPr="00746871">
              <w:rPr>
                <w:rFonts w:hint="eastAsia"/>
              </w:rPr>
              <w:t>加权</w:t>
            </w:r>
            <w:r w:rsidRPr="00746871">
              <w:rPr>
                <w:rFonts w:hint="eastAsia"/>
              </w:rPr>
              <w:t>平均值作为该油品的低位发热量；</w:t>
            </w:r>
          </w:p>
          <w:p w14:paraId="25DF3667" w14:textId="77777777" w:rsidR="00174D6E" w:rsidRPr="00746871" w:rsidRDefault="00EE2EB4" w:rsidP="00B62B70">
            <w:pPr>
              <w:ind w:firstLineChars="0" w:firstLine="0"/>
            </w:pPr>
            <w:r w:rsidRPr="00746871">
              <w:rPr>
                <w:rFonts w:hint="eastAsia"/>
              </w:rPr>
              <w:t>对天然气等其他燃料可在每批次燃料入厂时或者每半年进行一次检测，</w:t>
            </w:r>
            <w:r w:rsidR="00D6575E" w:rsidRPr="00746871">
              <w:rPr>
                <w:rFonts w:hint="eastAsia"/>
              </w:rPr>
              <w:t>企业可以自行测量天然气的低位发热量，也可由燃料供应商提供</w:t>
            </w:r>
            <w:r w:rsidRPr="00746871">
              <w:rPr>
                <w:rFonts w:hint="eastAsia"/>
              </w:rPr>
              <w:t>，取加权平均值作为低位发热量</w:t>
            </w:r>
            <w:r w:rsidR="00D6575E" w:rsidRPr="00746871">
              <w:rPr>
                <w:rFonts w:hint="eastAsia"/>
              </w:rPr>
              <w:t>。</w:t>
            </w:r>
          </w:p>
        </w:tc>
      </w:tr>
      <w:tr w:rsidR="00174D6E" w:rsidRPr="00746871" w14:paraId="4F574B91" w14:textId="77777777" w:rsidTr="00C7357A">
        <w:tc>
          <w:tcPr>
            <w:tcW w:w="1555" w:type="dxa"/>
          </w:tcPr>
          <w:p w14:paraId="201FA9DC" w14:textId="77777777" w:rsidR="00174D6E" w:rsidRPr="00746871" w:rsidRDefault="00FB6E21" w:rsidP="00B62B70">
            <w:pPr>
              <w:ind w:firstLineChars="0" w:firstLine="0"/>
            </w:pPr>
            <w:r w:rsidRPr="00746871">
              <w:rPr>
                <w:rFonts w:hint="eastAsia"/>
              </w:rPr>
              <w:t>核查方法</w:t>
            </w:r>
          </w:p>
        </w:tc>
        <w:tc>
          <w:tcPr>
            <w:tcW w:w="7789" w:type="dxa"/>
          </w:tcPr>
          <w:p w14:paraId="79C4236D" w14:textId="77777777" w:rsidR="00174D6E" w:rsidRPr="00746871" w:rsidRDefault="00550BC0" w:rsidP="007B05D3">
            <w:pPr>
              <w:pStyle w:val="afa"/>
              <w:numPr>
                <w:ilvl w:val="0"/>
                <w:numId w:val="10"/>
              </w:numPr>
              <w:ind w:left="0" w:firstLineChars="0" w:firstLine="0"/>
            </w:pPr>
            <w:r w:rsidRPr="00746871">
              <w:rPr>
                <w:rFonts w:hint="eastAsia"/>
              </w:rPr>
              <w:t>现场核查：如报告主体的化石燃料低位发热值为自行检测时，核查组应现场查看检测设备，确认校准有效期，询问记录人员检测方法、检测频次等；</w:t>
            </w:r>
          </w:p>
          <w:p w14:paraId="749009E0" w14:textId="77777777" w:rsidR="00550BC0" w:rsidRPr="00746871" w:rsidRDefault="00550BC0" w:rsidP="007B05D3">
            <w:pPr>
              <w:pStyle w:val="afa"/>
              <w:numPr>
                <w:ilvl w:val="0"/>
                <w:numId w:val="10"/>
              </w:numPr>
              <w:ind w:left="0" w:firstLineChars="0" w:firstLine="0"/>
            </w:pPr>
            <w:r w:rsidRPr="00746871">
              <w:rPr>
                <w:rFonts w:hint="eastAsia"/>
              </w:rPr>
              <w:t>文件审核：</w:t>
            </w:r>
            <w:r w:rsidRPr="00746871">
              <w:rPr>
                <w:rFonts w:hint="eastAsia"/>
              </w:rPr>
              <w:t xml:space="preserve"> </w:t>
            </w:r>
            <w:r w:rsidRPr="00746871">
              <w:rPr>
                <w:rFonts w:hint="eastAsia"/>
              </w:rPr>
              <w:t>根据核算报告的数据来源，对报告期内的所有数据进行核对，确认是否支撑核算报告的数据；</w:t>
            </w:r>
          </w:p>
          <w:p w14:paraId="54D7CB30" w14:textId="77777777" w:rsidR="00550BC0" w:rsidRPr="00746871" w:rsidRDefault="00550BC0" w:rsidP="007B05D3">
            <w:pPr>
              <w:pStyle w:val="afa"/>
              <w:numPr>
                <w:ilvl w:val="0"/>
                <w:numId w:val="10"/>
              </w:numPr>
              <w:ind w:left="0" w:firstLineChars="0" w:firstLine="0"/>
            </w:pPr>
            <w:r w:rsidRPr="00746871">
              <w:rPr>
                <w:rFonts w:hint="eastAsia"/>
              </w:rPr>
              <w:lastRenderedPageBreak/>
              <w:t>交叉核对：核查组对受核查方提供的其他数据来源进行相互验证，如供应商提供的热值检测报告、自检数据、财务结算的热值数据等，如不同数据来源的数据相差</w:t>
            </w:r>
            <w:r w:rsidRPr="00746871">
              <w:rPr>
                <w:rFonts w:hint="eastAsia"/>
              </w:rPr>
              <w:t>1</w:t>
            </w:r>
            <w:r w:rsidRPr="00746871">
              <w:t>0</w:t>
            </w:r>
            <w:r w:rsidRPr="00746871">
              <w:rPr>
                <w:rFonts w:hint="eastAsia"/>
              </w:rPr>
              <w:t>%</w:t>
            </w:r>
            <w:r w:rsidRPr="00746871">
              <w:rPr>
                <w:rFonts w:hint="eastAsia"/>
              </w:rPr>
              <w:t>以上，应了解原因，并最终确认有效的数据来源，如与核算报告的数据来源不一致，核查组应开具不符合报告</w:t>
            </w:r>
            <w:r w:rsidR="00581A5F" w:rsidRPr="00746871">
              <w:rPr>
                <w:rFonts w:hint="eastAsia"/>
              </w:rPr>
              <w:t>；</w:t>
            </w:r>
          </w:p>
          <w:p w14:paraId="759AD12B" w14:textId="77777777" w:rsidR="00581A5F" w:rsidRPr="00746871" w:rsidRDefault="00581A5F" w:rsidP="007B05D3">
            <w:pPr>
              <w:pStyle w:val="afa"/>
              <w:numPr>
                <w:ilvl w:val="0"/>
                <w:numId w:val="10"/>
              </w:numPr>
              <w:ind w:left="0" w:firstLineChars="0" w:firstLine="0"/>
            </w:pPr>
            <w:r w:rsidRPr="00746871">
              <w:rPr>
                <w:rFonts w:hint="eastAsia"/>
              </w:rPr>
              <w:t>核查结论：核查组应在核查报告中描述具体数值</w:t>
            </w:r>
          </w:p>
        </w:tc>
      </w:tr>
    </w:tbl>
    <w:p w14:paraId="62FAD7B5" w14:textId="77777777" w:rsidR="00174D6E" w:rsidRPr="00746871" w:rsidRDefault="00174D6E" w:rsidP="00BA0470">
      <w:pPr>
        <w:ind w:firstLine="420"/>
      </w:pPr>
    </w:p>
    <w:p w14:paraId="4C323962" w14:textId="77777777" w:rsidR="00E169B0" w:rsidRPr="00746871" w:rsidRDefault="00E169B0" w:rsidP="00E169B0">
      <w:pPr>
        <w:ind w:firstLine="420"/>
        <w:jc w:val="center"/>
      </w:pPr>
      <w:r w:rsidRPr="00746871">
        <w:rPr>
          <w:rFonts w:hint="eastAsia"/>
        </w:rPr>
        <w:t>表</w:t>
      </w:r>
      <w:r w:rsidRPr="00746871">
        <w:rPr>
          <w:rFonts w:hint="eastAsia"/>
        </w:rPr>
        <w:t>3</w:t>
      </w:r>
      <w:r w:rsidRPr="00746871">
        <w:t xml:space="preserve"> </w:t>
      </w:r>
      <w:r w:rsidRPr="00746871">
        <w:rPr>
          <w:rFonts w:hint="eastAsia"/>
        </w:rPr>
        <w:t>化石燃料的单位热值含碳量</w:t>
      </w:r>
      <w:r w:rsidR="000E0D2A" w:rsidRPr="00746871">
        <w:rPr>
          <w:rFonts w:hint="eastAsia"/>
        </w:rPr>
        <w:t>和碳氧化率</w:t>
      </w:r>
    </w:p>
    <w:tbl>
      <w:tblPr>
        <w:tblStyle w:val="afc"/>
        <w:tblW w:w="0" w:type="auto"/>
        <w:tblLook w:val="04A0" w:firstRow="1" w:lastRow="0" w:firstColumn="1" w:lastColumn="0" w:noHBand="0" w:noVBand="1"/>
      </w:tblPr>
      <w:tblGrid>
        <w:gridCol w:w="1980"/>
        <w:gridCol w:w="1559"/>
        <w:gridCol w:w="5805"/>
      </w:tblGrid>
      <w:tr w:rsidR="000E0D2A" w:rsidRPr="00746871" w14:paraId="224DD8A9" w14:textId="77777777" w:rsidTr="00C22FA8">
        <w:tc>
          <w:tcPr>
            <w:tcW w:w="1980" w:type="dxa"/>
          </w:tcPr>
          <w:p w14:paraId="78D00888" w14:textId="77777777" w:rsidR="000E0D2A" w:rsidRPr="00746871" w:rsidRDefault="000E0D2A" w:rsidP="00B62B70">
            <w:pPr>
              <w:ind w:firstLineChars="0" w:firstLine="0"/>
              <w:jc w:val="center"/>
            </w:pPr>
            <w:r w:rsidRPr="00746871">
              <w:rPr>
                <w:rFonts w:hint="eastAsia"/>
              </w:rPr>
              <w:t>参数</w:t>
            </w:r>
          </w:p>
        </w:tc>
        <w:tc>
          <w:tcPr>
            <w:tcW w:w="1559" w:type="dxa"/>
          </w:tcPr>
          <w:p w14:paraId="5FE43620" w14:textId="77777777" w:rsidR="000E0D2A" w:rsidRPr="00746871" w:rsidRDefault="000E0D2A" w:rsidP="00B62B70">
            <w:pPr>
              <w:ind w:firstLineChars="0" w:firstLine="0"/>
              <w:jc w:val="center"/>
            </w:pPr>
            <w:r w:rsidRPr="00746871">
              <w:rPr>
                <w:rFonts w:hint="eastAsia"/>
              </w:rPr>
              <w:t>数据来源</w:t>
            </w:r>
          </w:p>
        </w:tc>
        <w:tc>
          <w:tcPr>
            <w:tcW w:w="5805" w:type="dxa"/>
          </w:tcPr>
          <w:p w14:paraId="50FD590B" w14:textId="77777777" w:rsidR="000E0D2A" w:rsidRPr="00746871" w:rsidRDefault="000E0D2A" w:rsidP="00B62B70">
            <w:pPr>
              <w:ind w:firstLineChars="0" w:firstLine="0"/>
              <w:jc w:val="center"/>
            </w:pPr>
            <w:r w:rsidRPr="00746871">
              <w:rPr>
                <w:rFonts w:hint="eastAsia"/>
              </w:rPr>
              <w:t>核查方法</w:t>
            </w:r>
          </w:p>
        </w:tc>
      </w:tr>
      <w:tr w:rsidR="000E0D2A" w:rsidRPr="00746871" w14:paraId="62B0B8C3" w14:textId="77777777" w:rsidTr="00C22FA8">
        <w:tc>
          <w:tcPr>
            <w:tcW w:w="1980" w:type="dxa"/>
          </w:tcPr>
          <w:p w14:paraId="1F7D80D2" w14:textId="77777777" w:rsidR="000E0D2A" w:rsidRPr="00746871" w:rsidRDefault="00662216" w:rsidP="00C22FA8">
            <w:pPr>
              <w:ind w:firstLineChars="0" w:firstLine="0"/>
              <w:jc w:val="left"/>
            </w:pPr>
            <w:r w:rsidRPr="00746871">
              <w:rPr>
                <w:rFonts w:hint="eastAsia"/>
              </w:rPr>
              <w:t>参数</w:t>
            </w:r>
            <w:r w:rsidRPr="00746871">
              <w:rPr>
                <w:rFonts w:hint="eastAsia"/>
              </w:rPr>
              <w:t>3</w:t>
            </w:r>
            <w:r w:rsidRPr="00746871">
              <w:rPr>
                <w:rFonts w:hint="eastAsia"/>
              </w:rPr>
              <w:t>：</w:t>
            </w:r>
            <w:r w:rsidR="000E0D2A" w:rsidRPr="00746871">
              <w:rPr>
                <w:rFonts w:hint="eastAsia"/>
              </w:rPr>
              <w:t>单位热值含碳量</w:t>
            </w:r>
          </w:p>
        </w:tc>
        <w:tc>
          <w:tcPr>
            <w:tcW w:w="1559" w:type="dxa"/>
          </w:tcPr>
          <w:p w14:paraId="2CC3BF53" w14:textId="77777777" w:rsidR="000E0D2A" w:rsidRPr="00746871" w:rsidRDefault="000E0D2A" w:rsidP="00B62B70">
            <w:pPr>
              <w:ind w:firstLineChars="0" w:firstLine="0"/>
              <w:jc w:val="center"/>
            </w:pPr>
            <w:r w:rsidRPr="00746871">
              <w:rPr>
                <w:rFonts w:hint="eastAsia"/>
              </w:rPr>
              <w:t>缺省值</w:t>
            </w:r>
            <w:r w:rsidRPr="00746871">
              <w:rPr>
                <w:rFonts w:hint="eastAsia"/>
              </w:rPr>
              <w:t>/</w:t>
            </w:r>
            <w:r w:rsidRPr="00746871">
              <w:rPr>
                <w:rFonts w:hint="eastAsia"/>
              </w:rPr>
              <w:t>实测值</w:t>
            </w:r>
          </w:p>
        </w:tc>
        <w:tc>
          <w:tcPr>
            <w:tcW w:w="5805" w:type="dxa"/>
          </w:tcPr>
          <w:p w14:paraId="6C8F8E1E" w14:textId="77777777" w:rsidR="000E0D2A" w:rsidRPr="00746871" w:rsidRDefault="000E0D2A" w:rsidP="007D7667">
            <w:pPr>
              <w:ind w:firstLineChars="0" w:firstLine="0"/>
            </w:pPr>
            <w:r w:rsidRPr="00746871">
              <w:rPr>
                <w:rFonts w:hint="eastAsia"/>
              </w:rPr>
              <w:t>查阅企业提供的检测报告，验证企业对单位热值含碳量的计算结果。单位热值含碳量应通过对同一样本的低位发热量和含碳量的检测值进行计算获得。</w:t>
            </w:r>
          </w:p>
          <w:p w14:paraId="5A4C133A" w14:textId="763C5341" w:rsidR="000E0D2A" w:rsidRPr="00746871" w:rsidRDefault="000E0D2A" w:rsidP="007D7667">
            <w:pPr>
              <w:ind w:firstLineChars="0" w:firstLine="0"/>
            </w:pPr>
            <w:r w:rsidRPr="00746871">
              <w:rPr>
                <w:rFonts w:hint="eastAsia"/>
              </w:rPr>
              <w:t>单位热值含碳量检测应遵循</w:t>
            </w:r>
            <w:r w:rsidRPr="00746871">
              <w:t>GB/T 476</w:t>
            </w:r>
            <w:r w:rsidRPr="00746871">
              <w:rPr>
                <w:rFonts w:hint="eastAsia"/>
              </w:rPr>
              <w:t>、</w:t>
            </w:r>
            <w:r w:rsidRPr="00746871">
              <w:t>GB/T 13610</w:t>
            </w:r>
            <w:r w:rsidRPr="00746871">
              <w:rPr>
                <w:rFonts w:hint="eastAsia"/>
              </w:rPr>
              <w:t>等标准。</w:t>
            </w:r>
          </w:p>
          <w:p w14:paraId="338A7B80" w14:textId="77777777" w:rsidR="000E0D2A" w:rsidRPr="00746871" w:rsidRDefault="000E0D2A" w:rsidP="007D7667">
            <w:pPr>
              <w:ind w:firstLineChars="0" w:firstLine="0"/>
            </w:pPr>
            <w:r w:rsidRPr="00746871">
              <w:rPr>
                <w:rFonts w:hint="eastAsia"/>
              </w:rPr>
              <w:t>若无实测值或检测频次不满足要求时，应采用核算和报告依据给定的缺省值</w:t>
            </w:r>
          </w:p>
        </w:tc>
      </w:tr>
      <w:tr w:rsidR="000E0D2A" w:rsidRPr="00746871" w14:paraId="08ADF9D1" w14:textId="77777777" w:rsidTr="00C22FA8">
        <w:tc>
          <w:tcPr>
            <w:tcW w:w="1980" w:type="dxa"/>
          </w:tcPr>
          <w:p w14:paraId="30ACF3D2" w14:textId="77777777" w:rsidR="000E0D2A" w:rsidRPr="00746871" w:rsidRDefault="00662216" w:rsidP="00C22FA8">
            <w:pPr>
              <w:ind w:firstLineChars="0" w:firstLine="0"/>
              <w:jc w:val="left"/>
            </w:pPr>
            <w:r w:rsidRPr="00746871">
              <w:rPr>
                <w:rFonts w:hint="eastAsia"/>
              </w:rPr>
              <w:t>参数</w:t>
            </w:r>
            <w:r w:rsidRPr="00746871">
              <w:rPr>
                <w:rFonts w:hint="eastAsia"/>
              </w:rPr>
              <w:t>4</w:t>
            </w:r>
            <w:r w:rsidRPr="00746871">
              <w:rPr>
                <w:rFonts w:hint="eastAsia"/>
              </w:rPr>
              <w:t>：</w:t>
            </w:r>
            <w:r w:rsidR="000E0D2A" w:rsidRPr="00746871">
              <w:rPr>
                <w:rFonts w:hint="eastAsia"/>
              </w:rPr>
              <w:t>碳氧化率</w:t>
            </w:r>
          </w:p>
        </w:tc>
        <w:tc>
          <w:tcPr>
            <w:tcW w:w="1559" w:type="dxa"/>
          </w:tcPr>
          <w:p w14:paraId="7612971A" w14:textId="77777777" w:rsidR="000E0D2A" w:rsidRPr="00746871" w:rsidRDefault="000E0D2A" w:rsidP="00B62B70">
            <w:pPr>
              <w:ind w:firstLineChars="0" w:firstLine="0"/>
              <w:jc w:val="center"/>
            </w:pPr>
            <w:r w:rsidRPr="00746871">
              <w:rPr>
                <w:rFonts w:hint="eastAsia"/>
              </w:rPr>
              <w:t>缺省值</w:t>
            </w:r>
          </w:p>
        </w:tc>
        <w:tc>
          <w:tcPr>
            <w:tcW w:w="5805" w:type="dxa"/>
          </w:tcPr>
          <w:p w14:paraId="423BBC27" w14:textId="0352CC8B" w:rsidR="000E0D2A" w:rsidRPr="00746871" w:rsidRDefault="000E0D2A" w:rsidP="00E6084C">
            <w:pPr>
              <w:ind w:firstLineChars="0" w:firstLine="0"/>
            </w:pPr>
            <w:r w:rsidRPr="00746871">
              <w:rPr>
                <w:rFonts w:hint="eastAsia"/>
              </w:rPr>
              <w:t>可采用</w:t>
            </w:r>
            <w:r w:rsidR="00E6084C" w:rsidRPr="00746871">
              <w:rPr>
                <w:rFonts w:hint="eastAsia"/>
              </w:rPr>
              <w:t>附录</w:t>
            </w:r>
            <w:r w:rsidR="0022124A" w:rsidRPr="00746871">
              <w:rPr>
                <w:rFonts w:hint="eastAsia"/>
              </w:rPr>
              <w:t>C</w:t>
            </w:r>
            <w:r w:rsidR="00E6084C" w:rsidRPr="00746871">
              <w:rPr>
                <w:rFonts w:hint="eastAsia"/>
              </w:rPr>
              <w:t>给出的</w:t>
            </w:r>
            <w:r w:rsidRPr="00746871">
              <w:rPr>
                <w:rFonts w:hint="eastAsia"/>
              </w:rPr>
              <w:t>缺省值</w:t>
            </w:r>
          </w:p>
        </w:tc>
      </w:tr>
    </w:tbl>
    <w:p w14:paraId="2AF93649" w14:textId="77777777" w:rsidR="00E565AF" w:rsidRPr="00746871" w:rsidRDefault="00E565AF" w:rsidP="002C6886">
      <w:pPr>
        <w:pStyle w:val="5"/>
        <w:ind w:firstLine="420"/>
      </w:pPr>
      <w:r w:rsidRPr="00746871">
        <w:rPr>
          <w:rFonts w:hint="eastAsia"/>
        </w:rPr>
        <w:t>7</w:t>
      </w:r>
      <w:r w:rsidRPr="00746871">
        <w:t xml:space="preserve">.2.5.4 </w:t>
      </w:r>
      <w:r w:rsidR="00EE514B" w:rsidRPr="00746871">
        <w:rPr>
          <w:rFonts w:hint="eastAsia"/>
        </w:rPr>
        <w:t>计算电力</w:t>
      </w:r>
      <w:r w:rsidR="00C44CF2" w:rsidRPr="00746871">
        <w:rPr>
          <w:rFonts w:hint="eastAsia"/>
        </w:rPr>
        <w:t>和热力</w:t>
      </w:r>
      <w:r w:rsidR="00EE514B" w:rsidRPr="00746871">
        <w:rPr>
          <w:rFonts w:hint="eastAsia"/>
        </w:rPr>
        <w:t>产生的排放所用的参数核查要求</w:t>
      </w:r>
    </w:p>
    <w:p w14:paraId="35A45FAB" w14:textId="1A7DA194" w:rsidR="00EE514B" w:rsidRPr="00746871" w:rsidRDefault="00EE514B" w:rsidP="00EE514B">
      <w:pPr>
        <w:ind w:firstLine="420"/>
      </w:pPr>
      <w:r w:rsidRPr="00746871">
        <w:rPr>
          <w:rFonts w:hint="eastAsia"/>
        </w:rPr>
        <w:t>电力产生的排放</w:t>
      </w:r>
      <w:r w:rsidR="00BD4DBB" w:rsidRPr="00746871">
        <w:rPr>
          <w:rFonts w:hint="eastAsia"/>
        </w:rPr>
        <w:t>涉及</w:t>
      </w:r>
      <w:r w:rsidRPr="00746871">
        <w:rPr>
          <w:rFonts w:hint="eastAsia"/>
        </w:rPr>
        <w:t>的参数包括</w:t>
      </w:r>
      <w:r w:rsidR="003017C5" w:rsidRPr="00746871">
        <w:rPr>
          <w:rFonts w:hint="eastAsia"/>
        </w:rPr>
        <w:t>购入电力和输出电力、</w:t>
      </w:r>
      <w:r w:rsidR="00E6084C" w:rsidRPr="00746871">
        <w:rPr>
          <w:rFonts w:hint="eastAsia"/>
        </w:rPr>
        <w:t>最新发布</w:t>
      </w:r>
      <w:r w:rsidR="00E6084C" w:rsidRPr="00746871">
        <w:t>的</w:t>
      </w:r>
      <w:r w:rsidR="003017C5" w:rsidRPr="00746871">
        <w:rPr>
          <w:rFonts w:hint="eastAsia"/>
        </w:rPr>
        <w:t>区域电网排放因子，两项参数核查要求见表</w:t>
      </w:r>
      <w:r w:rsidR="003017C5" w:rsidRPr="00746871">
        <w:t>4</w:t>
      </w:r>
      <w:r w:rsidR="00493565" w:rsidRPr="00746871">
        <w:rPr>
          <w:rFonts w:hint="eastAsia"/>
        </w:rPr>
        <w:t>~</w:t>
      </w:r>
      <w:r w:rsidR="003017C5" w:rsidRPr="00746871">
        <w:rPr>
          <w:rFonts w:hint="eastAsia"/>
        </w:rPr>
        <w:t>表</w:t>
      </w:r>
      <w:r w:rsidR="003017C5" w:rsidRPr="00746871">
        <w:t>5</w:t>
      </w:r>
      <w:r w:rsidR="003017C5" w:rsidRPr="00746871">
        <w:rPr>
          <w:rFonts w:hint="eastAsia"/>
        </w:rPr>
        <w:t>。</w:t>
      </w:r>
    </w:p>
    <w:p w14:paraId="7DF6F218" w14:textId="77777777" w:rsidR="003017C5" w:rsidRPr="00746871" w:rsidRDefault="003017C5" w:rsidP="003017C5">
      <w:pPr>
        <w:ind w:firstLine="420"/>
        <w:jc w:val="center"/>
      </w:pPr>
      <w:r w:rsidRPr="00746871">
        <w:rPr>
          <w:rFonts w:hint="eastAsia"/>
        </w:rPr>
        <w:t>表</w:t>
      </w:r>
      <w:r w:rsidRPr="00746871">
        <w:rPr>
          <w:rFonts w:hint="eastAsia"/>
        </w:rPr>
        <w:t>4</w:t>
      </w:r>
      <w:r w:rsidRPr="00746871">
        <w:t xml:space="preserve"> </w:t>
      </w:r>
      <w:r w:rsidRPr="00746871">
        <w:rPr>
          <w:rFonts w:hint="eastAsia"/>
        </w:rPr>
        <w:t>核算和报告期内的净购入电量</w:t>
      </w:r>
    </w:p>
    <w:tbl>
      <w:tblPr>
        <w:tblStyle w:val="afc"/>
        <w:tblW w:w="0" w:type="auto"/>
        <w:tblLook w:val="04A0" w:firstRow="1" w:lastRow="0" w:firstColumn="1" w:lastColumn="0" w:noHBand="0" w:noVBand="1"/>
      </w:tblPr>
      <w:tblGrid>
        <w:gridCol w:w="1555"/>
        <w:gridCol w:w="7789"/>
      </w:tblGrid>
      <w:tr w:rsidR="00662216" w:rsidRPr="00746871" w14:paraId="6A2BCEDF" w14:textId="77777777" w:rsidTr="00C7357A">
        <w:tc>
          <w:tcPr>
            <w:tcW w:w="1555" w:type="dxa"/>
          </w:tcPr>
          <w:p w14:paraId="05B26DCC" w14:textId="77777777" w:rsidR="00662216" w:rsidRPr="00746871" w:rsidRDefault="00662216" w:rsidP="00B62B70">
            <w:pPr>
              <w:ind w:firstLineChars="0" w:firstLine="0"/>
            </w:pPr>
            <w:r w:rsidRPr="00746871">
              <w:rPr>
                <w:rFonts w:hint="eastAsia"/>
              </w:rPr>
              <w:t>参数</w:t>
            </w:r>
            <w:r w:rsidRPr="00746871">
              <w:rPr>
                <w:rFonts w:hint="eastAsia"/>
              </w:rPr>
              <w:t>5</w:t>
            </w:r>
          </w:p>
        </w:tc>
        <w:tc>
          <w:tcPr>
            <w:tcW w:w="7789" w:type="dxa"/>
          </w:tcPr>
          <w:p w14:paraId="292ACDF4" w14:textId="77777777" w:rsidR="00662216" w:rsidRPr="00746871" w:rsidRDefault="00662216" w:rsidP="00B62B70">
            <w:pPr>
              <w:ind w:firstLineChars="0" w:firstLine="0"/>
            </w:pPr>
            <w:r w:rsidRPr="00746871">
              <w:rPr>
                <w:rFonts w:hint="eastAsia"/>
              </w:rPr>
              <w:t>净购入电力</w:t>
            </w:r>
          </w:p>
        </w:tc>
      </w:tr>
      <w:tr w:rsidR="00662216" w:rsidRPr="00746871" w14:paraId="6A279D3D" w14:textId="77777777" w:rsidTr="00C7357A">
        <w:tc>
          <w:tcPr>
            <w:tcW w:w="1555" w:type="dxa"/>
          </w:tcPr>
          <w:p w14:paraId="2DAC3AEC" w14:textId="77777777" w:rsidR="00662216" w:rsidRPr="00746871" w:rsidRDefault="00662216" w:rsidP="00B62B70">
            <w:pPr>
              <w:ind w:firstLineChars="0" w:firstLine="0"/>
            </w:pPr>
            <w:r w:rsidRPr="00746871">
              <w:rPr>
                <w:rFonts w:hint="eastAsia"/>
              </w:rPr>
              <w:t>单位</w:t>
            </w:r>
          </w:p>
        </w:tc>
        <w:tc>
          <w:tcPr>
            <w:tcW w:w="7789" w:type="dxa"/>
          </w:tcPr>
          <w:p w14:paraId="435D3784" w14:textId="77777777" w:rsidR="00662216" w:rsidRPr="00746871" w:rsidRDefault="00662216" w:rsidP="00B62B70">
            <w:pPr>
              <w:ind w:firstLineChars="0" w:firstLine="0"/>
            </w:pPr>
            <w:r w:rsidRPr="00746871">
              <w:rPr>
                <w:rFonts w:hint="eastAsia"/>
              </w:rPr>
              <w:t>兆瓦时（</w:t>
            </w:r>
            <w:r w:rsidRPr="00746871">
              <w:rPr>
                <w:rFonts w:hint="eastAsia"/>
              </w:rPr>
              <w:t>M</w:t>
            </w:r>
            <w:r w:rsidRPr="00746871">
              <w:t>W</w:t>
            </w:r>
            <w:r w:rsidRPr="00746871">
              <w:rPr>
                <w:rFonts w:hint="eastAsia"/>
              </w:rPr>
              <w:t>h</w:t>
            </w:r>
            <w:r w:rsidRPr="00746871">
              <w:rPr>
                <w:rFonts w:hint="eastAsia"/>
              </w:rPr>
              <w:t>）</w:t>
            </w:r>
          </w:p>
        </w:tc>
      </w:tr>
      <w:tr w:rsidR="00662216" w:rsidRPr="00746871" w14:paraId="2E8CC4C8" w14:textId="77777777" w:rsidTr="00C7357A">
        <w:tc>
          <w:tcPr>
            <w:tcW w:w="1555" w:type="dxa"/>
          </w:tcPr>
          <w:p w14:paraId="0CC828A5" w14:textId="77777777" w:rsidR="00662216" w:rsidRPr="00746871" w:rsidRDefault="00662216" w:rsidP="00B62B70">
            <w:pPr>
              <w:ind w:firstLineChars="0" w:firstLine="0"/>
            </w:pPr>
            <w:r w:rsidRPr="00746871">
              <w:rPr>
                <w:rFonts w:hint="eastAsia"/>
              </w:rPr>
              <w:t>数据来源</w:t>
            </w:r>
          </w:p>
        </w:tc>
        <w:tc>
          <w:tcPr>
            <w:tcW w:w="7789" w:type="dxa"/>
          </w:tcPr>
          <w:p w14:paraId="75CC029A" w14:textId="77777777" w:rsidR="00662216" w:rsidRPr="00746871" w:rsidRDefault="00662216" w:rsidP="00B62B70">
            <w:pPr>
              <w:ind w:firstLineChars="0" w:firstLine="0"/>
            </w:pPr>
            <w:r w:rsidRPr="00746871">
              <w:rPr>
                <w:rFonts w:hint="eastAsia"/>
              </w:rPr>
              <w:t>报告主体内部的抄表记录，或者电网公司抄表数据。核查员应注意两者结算日期的差异</w:t>
            </w:r>
          </w:p>
        </w:tc>
      </w:tr>
      <w:tr w:rsidR="00662216" w:rsidRPr="00746871" w14:paraId="31969CC7" w14:textId="77777777" w:rsidTr="00C7357A">
        <w:tc>
          <w:tcPr>
            <w:tcW w:w="1555" w:type="dxa"/>
          </w:tcPr>
          <w:p w14:paraId="696609CA" w14:textId="77777777" w:rsidR="00662216" w:rsidRPr="00746871" w:rsidRDefault="00662216" w:rsidP="00B62B70">
            <w:pPr>
              <w:ind w:firstLineChars="0" w:firstLine="0"/>
            </w:pPr>
            <w:r w:rsidRPr="00746871">
              <w:rPr>
                <w:rFonts w:hint="eastAsia"/>
              </w:rPr>
              <w:t>监测方法</w:t>
            </w:r>
          </w:p>
        </w:tc>
        <w:tc>
          <w:tcPr>
            <w:tcW w:w="7789" w:type="dxa"/>
          </w:tcPr>
          <w:p w14:paraId="0A92821F" w14:textId="77777777" w:rsidR="00662216" w:rsidRPr="00746871" w:rsidRDefault="00662216" w:rsidP="00B62B70">
            <w:pPr>
              <w:ind w:firstLineChars="0" w:firstLine="0"/>
            </w:pPr>
            <w:r w:rsidRPr="00746871">
              <w:rPr>
                <w:rFonts w:hint="eastAsia"/>
              </w:rPr>
              <w:t>电能表测量</w:t>
            </w:r>
          </w:p>
        </w:tc>
      </w:tr>
      <w:tr w:rsidR="00662216" w:rsidRPr="00746871" w14:paraId="787ABC89" w14:textId="77777777" w:rsidTr="00C7357A">
        <w:tc>
          <w:tcPr>
            <w:tcW w:w="1555" w:type="dxa"/>
          </w:tcPr>
          <w:p w14:paraId="7A095D00" w14:textId="77777777" w:rsidR="00662216" w:rsidRPr="00746871" w:rsidRDefault="00662216" w:rsidP="00B62B70">
            <w:pPr>
              <w:ind w:firstLineChars="0" w:firstLine="0"/>
            </w:pPr>
            <w:r w:rsidRPr="00746871">
              <w:rPr>
                <w:rFonts w:hint="eastAsia"/>
              </w:rPr>
              <w:t>监测频次</w:t>
            </w:r>
          </w:p>
        </w:tc>
        <w:tc>
          <w:tcPr>
            <w:tcW w:w="7789" w:type="dxa"/>
          </w:tcPr>
          <w:p w14:paraId="5441B99E" w14:textId="77777777" w:rsidR="00662216" w:rsidRPr="00746871" w:rsidRDefault="00662216" w:rsidP="00B62B70">
            <w:pPr>
              <w:ind w:firstLineChars="0" w:firstLine="0"/>
            </w:pPr>
            <w:r w:rsidRPr="00746871">
              <w:rPr>
                <w:rFonts w:hint="eastAsia"/>
              </w:rPr>
              <w:t>连续监测</w:t>
            </w:r>
          </w:p>
        </w:tc>
      </w:tr>
      <w:tr w:rsidR="00662216" w:rsidRPr="00746871" w14:paraId="23209159" w14:textId="77777777" w:rsidTr="00C7357A">
        <w:tc>
          <w:tcPr>
            <w:tcW w:w="1555" w:type="dxa"/>
          </w:tcPr>
          <w:p w14:paraId="179FC151" w14:textId="77777777" w:rsidR="00662216" w:rsidRPr="00746871" w:rsidRDefault="00662216" w:rsidP="00B62B70">
            <w:pPr>
              <w:ind w:firstLineChars="0" w:firstLine="0"/>
            </w:pPr>
            <w:r w:rsidRPr="00746871">
              <w:rPr>
                <w:rFonts w:hint="eastAsia"/>
              </w:rPr>
              <w:t>记录频次</w:t>
            </w:r>
          </w:p>
        </w:tc>
        <w:tc>
          <w:tcPr>
            <w:tcW w:w="7789" w:type="dxa"/>
          </w:tcPr>
          <w:p w14:paraId="66C8097B" w14:textId="77777777" w:rsidR="00662216" w:rsidRPr="00746871" w:rsidRDefault="00662216" w:rsidP="00B62B70">
            <w:pPr>
              <w:ind w:firstLineChars="0" w:firstLine="0"/>
            </w:pPr>
            <w:r w:rsidRPr="00746871">
              <w:rPr>
                <w:rFonts w:hint="eastAsia"/>
              </w:rPr>
              <w:t>至少每月一次</w:t>
            </w:r>
          </w:p>
        </w:tc>
      </w:tr>
      <w:tr w:rsidR="00662216" w:rsidRPr="00746871" w14:paraId="5D16BB80" w14:textId="77777777" w:rsidTr="00C7357A">
        <w:tc>
          <w:tcPr>
            <w:tcW w:w="1555" w:type="dxa"/>
          </w:tcPr>
          <w:p w14:paraId="3CA3AAEA" w14:textId="77777777" w:rsidR="00662216" w:rsidRPr="00746871" w:rsidRDefault="00662216" w:rsidP="00B62B70">
            <w:pPr>
              <w:ind w:firstLineChars="0" w:firstLine="0"/>
            </w:pPr>
            <w:r w:rsidRPr="00746871">
              <w:rPr>
                <w:rFonts w:hint="eastAsia"/>
              </w:rPr>
              <w:t>核查方法</w:t>
            </w:r>
          </w:p>
        </w:tc>
        <w:tc>
          <w:tcPr>
            <w:tcW w:w="7789" w:type="dxa"/>
          </w:tcPr>
          <w:p w14:paraId="6DE0B649" w14:textId="77777777" w:rsidR="00662216" w:rsidRPr="00746871" w:rsidRDefault="00662216" w:rsidP="00795D3E">
            <w:pPr>
              <w:pStyle w:val="afa"/>
              <w:numPr>
                <w:ilvl w:val="0"/>
                <w:numId w:val="11"/>
              </w:numPr>
              <w:ind w:left="0" w:firstLineChars="0" w:firstLine="0"/>
            </w:pPr>
            <w:r w:rsidRPr="00746871">
              <w:rPr>
                <w:rFonts w:hint="eastAsia"/>
              </w:rPr>
              <w:t>现场审核：</w:t>
            </w:r>
            <w:r w:rsidRPr="00746871">
              <w:rPr>
                <w:rFonts w:hint="eastAsia"/>
              </w:rPr>
              <w:t xml:space="preserve"> </w:t>
            </w:r>
            <w:r w:rsidRPr="00746871">
              <w:rPr>
                <w:rFonts w:hint="eastAsia"/>
              </w:rPr>
              <w:t>核查组应现场查看电表设备，确认校准有效期，询问记录人员监测方法、监测频次、统计口径等，询问核算报告的消费量数据来源；</w:t>
            </w:r>
          </w:p>
          <w:p w14:paraId="60BE0235" w14:textId="77777777" w:rsidR="00662216" w:rsidRPr="00746871" w:rsidRDefault="00662216" w:rsidP="00795D3E">
            <w:pPr>
              <w:pStyle w:val="afa"/>
              <w:numPr>
                <w:ilvl w:val="0"/>
                <w:numId w:val="11"/>
              </w:numPr>
              <w:ind w:left="0" w:firstLineChars="0" w:firstLine="0"/>
            </w:pPr>
            <w:r w:rsidRPr="00746871">
              <w:rPr>
                <w:rFonts w:hint="eastAsia"/>
              </w:rPr>
              <w:t>文件审核：根据核算报告的数据来源，对报告期内的所有数据进行核对，确认是否支撑核算报告的数据；</w:t>
            </w:r>
          </w:p>
          <w:p w14:paraId="74679679" w14:textId="77777777" w:rsidR="00662216" w:rsidRPr="00746871" w:rsidRDefault="00662216" w:rsidP="00795D3E">
            <w:pPr>
              <w:pStyle w:val="afa"/>
              <w:numPr>
                <w:ilvl w:val="0"/>
                <w:numId w:val="11"/>
              </w:numPr>
              <w:ind w:left="0" w:firstLineChars="0" w:firstLine="0"/>
            </w:pPr>
            <w:r w:rsidRPr="00746871">
              <w:rPr>
                <w:rFonts w:hint="eastAsia"/>
              </w:rPr>
              <w:t>交叉核对：与企业内部的运行日志、电力接线图、电网公司的缴费通知单以及购电发票等信息进行交叉核对；</w:t>
            </w:r>
          </w:p>
          <w:p w14:paraId="45049D63" w14:textId="77777777" w:rsidR="00662216" w:rsidRPr="00746871" w:rsidRDefault="00662216" w:rsidP="00795D3E">
            <w:pPr>
              <w:pStyle w:val="afa"/>
              <w:numPr>
                <w:ilvl w:val="0"/>
                <w:numId w:val="11"/>
              </w:numPr>
              <w:ind w:left="0" w:firstLineChars="0" w:firstLine="0"/>
            </w:pPr>
            <w:r w:rsidRPr="00746871">
              <w:rPr>
                <w:rFonts w:hint="eastAsia"/>
              </w:rPr>
              <w:t>核查结论：核查组应在核查</w:t>
            </w:r>
            <w:r w:rsidR="00314CD3" w:rsidRPr="00746871">
              <w:rPr>
                <w:rFonts w:hint="eastAsia"/>
              </w:rPr>
              <w:t>报告</w:t>
            </w:r>
            <w:r w:rsidRPr="00746871">
              <w:rPr>
                <w:rFonts w:hint="eastAsia"/>
              </w:rPr>
              <w:t>中描述具体值</w:t>
            </w:r>
          </w:p>
        </w:tc>
      </w:tr>
    </w:tbl>
    <w:p w14:paraId="4C2403DA" w14:textId="77777777" w:rsidR="003017C5" w:rsidRPr="00746871" w:rsidRDefault="003017C5" w:rsidP="003017C5">
      <w:pPr>
        <w:ind w:firstLine="420"/>
        <w:jc w:val="center"/>
      </w:pPr>
    </w:p>
    <w:p w14:paraId="1CB4A0AF" w14:textId="77777777" w:rsidR="003017C5" w:rsidRPr="00746871" w:rsidRDefault="00AE200D" w:rsidP="003017C5">
      <w:pPr>
        <w:ind w:firstLine="420"/>
        <w:jc w:val="center"/>
      </w:pPr>
      <w:r w:rsidRPr="00746871">
        <w:rPr>
          <w:rFonts w:hint="eastAsia"/>
        </w:rPr>
        <w:t>表</w:t>
      </w:r>
      <w:r w:rsidRPr="00746871">
        <w:rPr>
          <w:rFonts w:hint="eastAsia"/>
        </w:rPr>
        <w:t>5</w:t>
      </w:r>
      <w:r w:rsidRPr="00746871">
        <w:t xml:space="preserve"> </w:t>
      </w:r>
      <w:r w:rsidRPr="00746871">
        <w:rPr>
          <w:rFonts w:hint="eastAsia"/>
        </w:rPr>
        <w:t>区域电网年平均供电排放因子</w:t>
      </w:r>
    </w:p>
    <w:tbl>
      <w:tblPr>
        <w:tblStyle w:val="afc"/>
        <w:tblW w:w="0" w:type="auto"/>
        <w:tblLook w:val="04A0" w:firstRow="1" w:lastRow="0" w:firstColumn="1" w:lastColumn="0" w:noHBand="0" w:noVBand="1"/>
      </w:tblPr>
      <w:tblGrid>
        <w:gridCol w:w="1555"/>
        <w:gridCol w:w="7789"/>
      </w:tblGrid>
      <w:tr w:rsidR="00EA17D4" w:rsidRPr="00746871" w14:paraId="5381BC59" w14:textId="77777777" w:rsidTr="00C7357A">
        <w:tc>
          <w:tcPr>
            <w:tcW w:w="1555" w:type="dxa"/>
          </w:tcPr>
          <w:p w14:paraId="58850EEC" w14:textId="77777777" w:rsidR="00EA17D4" w:rsidRPr="00746871" w:rsidRDefault="00EA17D4" w:rsidP="00B62B70">
            <w:pPr>
              <w:ind w:firstLineChars="0" w:firstLine="0"/>
            </w:pPr>
            <w:r w:rsidRPr="00746871">
              <w:rPr>
                <w:rFonts w:hint="eastAsia"/>
              </w:rPr>
              <w:t>参数</w:t>
            </w:r>
            <w:r w:rsidR="001C4939" w:rsidRPr="00746871">
              <w:rPr>
                <w:rFonts w:hint="eastAsia"/>
              </w:rPr>
              <w:t>6</w:t>
            </w:r>
          </w:p>
        </w:tc>
        <w:tc>
          <w:tcPr>
            <w:tcW w:w="7789" w:type="dxa"/>
          </w:tcPr>
          <w:p w14:paraId="039A5A2A" w14:textId="77777777" w:rsidR="00EA17D4" w:rsidRPr="00746871" w:rsidRDefault="001C4939" w:rsidP="00B62B70">
            <w:pPr>
              <w:ind w:firstLineChars="0" w:firstLine="0"/>
            </w:pPr>
            <w:r w:rsidRPr="00746871">
              <w:rPr>
                <w:rFonts w:hint="eastAsia"/>
              </w:rPr>
              <w:t>区域电网年平均供电排放因子</w:t>
            </w:r>
          </w:p>
        </w:tc>
      </w:tr>
      <w:tr w:rsidR="00EA17D4" w:rsidRPr="00746871" w14:paraId="43F11EB3" w14:textId="77777777" w:rsidTr="00C7357A">
        <w:tc>
          <w:tcPr>
            <w:tcW w:w="1555" w:type="dxa"/>
          </w:tcPr>
          <w:p w14:paraId="332379ED" w14:textId="77777777" w:rsidR="00EA17D4" w:rsidRPr="00746871" w:rsidRDefault="00EA17D4" w:rsidP="00B62B70">
            <w:pPr>
              <w:ind w:firstLineChars="0" w:firstLine="0"/>
            </w:pPr>
            <w:r w:rsidRPr="00746871">
              <w:rPr>
                <w:rFonts w:hint="eastAsia"/>
              </w:rPr>
              <w:t>单位</w:t>
            </w:r>
          </w:p>
        </w:tc>
        <w:tc>
          <w:tcPr>
            <w:tcW w:w="7789" w:type="dxa"/>
          </w:tcPr>
          <w:p w14:paraId="73093988" w14:textId="77777777" w:rsidR="00EA17D4" w:rsidRPr="00746871" w:rsidRDefault="00EB69C8" w:rsidP="00B62B70">
            <w:pPr>
              <w:ind w:firstLineChars="0" w:firstLine="0"/>
            </w:pPr>
            <w:r w:rsidRPr="00746871">
              <w:rPr>
                <w:rFonts w:hint="eastAsia"/>
              </w:rPr>
              <w:t>吨二氧化碳</w:t>
            </w:r>
            <w:r w:rsidRPr="00746871">
              <w:rPr>
                <w:rFonts w:hint="eastAsia"/>
              </w:rPr>
              <w:t>/</w:t>
            </w:r>
            <w:r w:rsidRPr="00746871">
              <w:rPr>
                <w:rFonts w:hint="eastAsia"/>
              </w:rPr>
              <w:t>兆瓦时（</w:t>
            </w:r>
            <w:r w:rsidRPr="00746871">
              <w:rPr>
                <w:rFonts w:hint="eastAsia"/>
              </w:rPr>
              <w:t>t</w:t>
            </w:r>
            <w:r w:rsidRPr="00746871">
              <w:t>CO</w:t>
            </w:r>
            <w:r w:rsidRPr="00746871">
              <w:rPr>
                <w:vertAlign w:val="subscript"/>
              </w:rPr>
              <w:t>2</w:t>
            </w:r>
            <w:r w:rsidRPr="00746871">
              <w:t>/MWh</w:t>
            </w:r>
            <w:r w:rsidRPr="00746871">
              <w:rPr>
                <w:rFonts w:hint="eastAsia"/>
              </w:rPr>
              <w:t>）</w:t>
            </w:r>
          </w:p>
        </w:tc>
      </w:tr>
      <w:tr w:rsidR="00EA17D4" w:rsidRPr="00746871" w14:paraId="4898CC70" w14:textId="77777777" w:rsidTr="00C7357A">
        <w:tc>
          <w:tcPr>
            <w:tcW w:w="1555" w:type="dxa"/>
          </w:tcPr>
          <w:p w14:paraId="1433A274" w14:textId="77777777" w:rsidR="00EA17D4" w:rsidRPr="00746871" w:rsidRDefault="00EA17D4" w:rsidP="00B62B70">
            <w:pPr>
              <w:ind w:firstLineChars="0" w:firstLine="0"/>
            </w:pPr>
            <w:r w:rsidRPr="00746871">
              <w:rPr>
                <w:rFonts w:hint="eastAsia"/>
              </w:rPr>
              <w:t>数据来源</w:t>
            </w:r>
          </w:p>
        </w:tc>
        <w:tc>
          <w:tcPr>
            <w:tcW w:w="7789" w:type="dxa"/>
          </w:tcPr>
          <w:p w14:paraId="1BEC056C" w14:textId="4F82FAE1" w:rsidR="00EA17D4" w:rsidRPr="00746871" w:rsidRDefault="00703EF6" w:rsidP="00E6084C">
            <w:pPr>
              <w:ind w:firstLineChars="0" w:firstLine="0"/>
            </w:pPr>
            <w:r w:rsidRPr="00746871">
              <w:rPr>
                <w:rFonts w:hint="eastAsia"/>
              </w:rPr>
              <w:t>国家主管部门</w:t>
            </w:r>
            <w:r w:rsidR="00E6084C" w:rsidRPr="00746871">
              <w:rPr>
                <w:rFonts w:hint="eastAsia"/>
              </w:rPr>
              <w:t>最新发布</w:t>
            </w:r>
            <w:r w:rsidR="00E6084C" w:rsidRPr="00746871">
              <w:t>的</w:t>
            </w:r>
            <w:r w:rsidRPr="00746871">
              <w:rPr>
                <w:rFonts w:hint="eastAsia"/>
              </w:rPr>
              <w:t>区域电网排放因子</w:t>
            </w:r>
          </w:p>
        </w:tc>
      </w:tr>
      <w:tr w:rsidR="00EA17D4" w:rsidRPr="00746871" w14:paraId="74F05111" w14:textId="77777777" w:rsidTr="00C7357A">
        <w:tc>
          <w:tcPr>
            <w:tcW w:w="1555" w:type="dxa"/>
          </w:tcPr>
          <w:p w14:paraId="28E7B41D" w14:textId="77777777" w:rsidR="00EA17D4" w:rsidRPr="00746871" w:rsidRDefault="00EA17D4" w:rsidP="00B62B70">
            <w:pPr>
              <w:ind w:firstLineChars="0" w:firstLine="0"/>
            </w:pPr>
            <w:r w:rsidRPr="00746871">
              <w:rPr>
                <w:rFonts w:hint="eastAsia"/>
              </w:rPr>
              <w:t>监测方法</w:t>
            </w:r>
          </w:p>
        </w:tc>
        <w:tc>
          <w:tcPr>
            <w:tcW w:w="7789" w:type="dxa"/>
          </w:tcPr>
          <w:p w14:paraId="5BF584B1" w14:textId="77777777" w:rsidR="00EA17D4" w:rsidRPr="00746871" w:rsidRDefault="00703EF6" w:rsidP="00B62B70">
            <w:pPr>
              <w:ind w:firstLineChars="0" w:firstLine="0"/>
            </w:pPr>
            <w:r w:rsidRPr="00746871">
              <w:rPr>
                <w:rFonts w:hint="eastAsia"/>
              </w:rPr>
              <w:t>-</w:t>
            </w:r>
          </w:p>
        </w:tc>
      </w:tr>
      <w:tr w:rsidR="00EA17D4" w:rsidRPr="00746871" w14:paraId="631107DC" w14:textId="77777777" w:rsidTr="00C7357A">
        <w:tc>
          <w:tcPr>
            <w:tcW w:w="1555" w:type="dxa"/>
          </w:tcPr>
          <w:p w14:paraId="4262E00D" w14:textId="77777777" w:rsidR="00EA17D4" w:rsidRPr="00746871" w:rsidRDefault="00EA17D4" w:rsidP="00B62B70">
            <w:pPr>
              <w:ind w:firstLineChars="0" w:firstLine="0"/>
            </w:pPr>
            <w:r w:rsidRPr="00746871">
              <w:rPr>
                <w:rFonts w:hint="eastAsia"/>
              </w:rPr>
              <w:t>监测频次</w:t>
            </w:r>
          </w:p>
        </w:tc>
        <w:tc>
          <w:tcPr>
            <w:tcW w:w="7789" w:type="dxa"/>
          </w:tcPr>
          <w:p w14:paraId="663A3BB2" w14:textId="77777777" w:rsidR="00EA17D4" w:rsidRPr="00746871" w:rsidRDefault="00703EF6" w:rsidP="00B62B70">
            <w:pPr>
              <w:ind w:firstLineChars="0" w:firstLine="0"/>
            </w:pPr>
            <w:r w:rsidRPr="00746871">
              <w:rPr>
                <w:rFonts w:hint="eastAsia"/>
              </w:rPr>
              <w:t>-</w:t>
            </w:r>
          </w:p>
        </w:tc>
      </w:tr>
      <w:tr w:rsidR="00EA17D4" w:rsidRPr="00746871" w14:paraId="12AA90CD" w14:textId="77777777" w:rsidTr="00C7357A">
        <w:tc>
          <w:tcPr>
            <w:tcW w:w="1555" w:type="dxa"/>
          </w:tcPr>
          <w:p w14:paraId="1F6767DA" w14:textId="77777777" w:rsidR="00EA17D4" w:rsidRPr="00746871" w:rsidRDefault="00EA17D4" w:rsidP="00B62B70">
            <w:pPr>
              <w:ind w:firstLineChars="0" w:firstLine="0"/>
            </w:pPr>
            <w:r w:rsidRPr="00746871">
              <w:rPr>
                <w:rFonts w:hint="eastAsia"/>
              </w:rPr>
              <w:lastRenderedPageBreak/>
              <w:t>记录频次</w:t>
            </w:r>
          </w:p>
        </w:tc>
        <w:tc>
          <w:tcPr>
            <w:tcW w:w="7789" w:type="dxa"/>
          </w:tcPr>
          <w:p w14:paraId="5D07E35F" w14:textId="77777777" w:rsidR="00EA17D4" w:rsidRPr="00746871" w:rsidRDefault="00703EF6" w:rsidP="00B62B70">
            <w:pPr>
              <w:ind w:firstLineChars="0" w:firstLine="0"/>
            </w:pPr>
            <w:r w:rsidRPr="00746871">
              <w:rPr>
                <w:rFonts w:hint="eastAsia"/>
              </w:rPr>
              <w:t>-</w:t>
            </w:r>
          </w:p>
        </w:tc>
      </w:tr>
      <w:tr w:rsidR="00EA17D4" w:rsidRPr="00746871" w14:paraId="335D5112" w14:textId="77777777" w:rsidTr="00C7357A">
        <w:tc>
          <w:tcPr>
            <w:tcW w:w="1555" w:type="dxa"/>
          </w:tcPr>
          <w:p w14:paraId="75979E4C" w14:textId="77777777" w:rsidR="00EA17D4" w:rsidRPr="00746871" w:rsidRDefault="00EA17D4" w:rsidP="00B62B70">
            <w:pPr>
              <w:ind w:firstLineChars="0" w:firstLine="0"/>
            </w:pPr>
            <w:r w:rsidRPr="00746871">
              <w:rPr>
                <w:rFonts w:hint="eastAsia"/>
              </w:rPr>
              <w:t>核查方法</w:t>
            </w:r>
          </w:p>
        </w:tc>
        <w:tc>
          <w:tcPr>
            <w:tcW w:w="7789" w:type="dxa"/>
          </w:tcPr>
          <w:p w14:paraId="54A0AEC3" w14:textId="77777777" w:rsidR="00EA17D4" w:rsidRPr="00746871" w:rsidRDefault="00703EF6" w:rsidP="00B62B70">
            <w:pPr>
              <w:ind w:firstLineChars="0" w:firstLine="0"/>
            </w:pPr>
            <w:r w:rsidRPr="00746871">
              <w:rPr>
                <w:rFonts w:hint="eastAsia"/>
              </w:rPr>
              <w:t>-</w:t>
            </w:r>
          </w:p>
        </w:tc>
      </w:tr>
    </w:tbl>
    <w:p w14:paraId="675B673E" w14:textId="77777777" w:rsidR="00E565AF" w:rsidRPr="00746871" w:rsidRDefault="00BD4DBB" w:rsidP="00BD4DBB">
      <w:pPr>
        <w:ind w:firstLine="420"/>
      </w:pPr>
      <w:r w:rsidRPr="00746871">
        <w:rPr>
          <w:rFonts w:hint="eastAsia"/>
        </w:rPr>
        <w:t>热力产生的排放涉及的参数包括购入热力和输出热力、热力排放因子，两项参数核查要求见表</w:t>
      </w:r>
      <w:r w:rsidR="000A3681" w:rsidRPr="00746871">
        <w:t>6</w:t>
      </w:r>
      <w:r w:rsidRPr="00746871">
        <w:rPr>
          <w:rFonts w:hint="eastAsia"/>
        </w:rPr>
        <w:t>-</w:t>
      </w:r>
      <w:r w:rsidRPr="00746871">
        <w:rPr>
          <w:rFonts w:hint="eastAsia"/>
        </w:rPr>
        <w:t>表</w:t>
      </w:r>
      <w:r w:rsidR="000A3681" w:rsidRPr="00746871">
        <w:t>7</w:t>
      </w:r>
      <w:r w:rsidRPr="00746871">
        <w:rPr>
          <w:rFonts w:hint="eastAsia"/>
        </w:rPr>
        <w:t>。</w:t>
      </w:r>
    </w:p>
    <w:p w14:paraId="3AD8E015" w14:textId="77777777" w:rsidR="00275413" w:rsidRPr="00746871" w:rsidRDefault="00275413" w:rsidP="00275413">
      <w:pPr>
        <w:ind w:firstLine="420"/>
        <w:jc w:val="center"/>
      </w:pPr>
      <w:r w:rsidRPr="00746871">
        <w:rPr>
          <w:rFonts w:hint="eastAsia"/>
        </w:rPr>
        <w:t>表</w:t>
      </w:r>
      <w:r w:rsidRPr="00746871">
        <w:t xml:space="preserve">6 </w:t>
      </w:r>
      <w:r w:rsidRPr="00746871">
        <w:rPr>
          <w:rFonts w:hint="eastAsia"/>
        </w:rPr>
        <w:t>核算和报告期内的净购入</w:t>
      </w:r>
      <w:r w:rsidR="00FA7233" w:rsidRPr="00746871">
        <w:rPr>
          <w:rFonts w:hint="eastAsia"/>
        </w:rPr>
        <w:t>热力</w:t>
      </w:r>
    </w:p>
    <w:tbl>
      <w:tblPr>
        <w:tblStyle w:val="afc"/>
        <w:tblW w:w="0" w:type="auto"/>
        <w:tblLook w:val="04A0" w:firstRow="1" w:lastRow="0" w:firstColumn="1" w:lastColumn="0" w:noHBand="0" w:noVBand="1"/>
      </w:tblPr>
      <w:tblGrid>
        <w:gridCol w:w="1555"/>
        <w:gridCol w:w="7789"/>
      </w:tblGrid>
      <w:tr w:rsidR="00275413" w:rsidRPr="00746871" w14:paraId="65E07D11" w14:textId="77777777" w:rsidTr="00C7357A">
        <w:tc>
          <w:tcPr>
            <w:tcW w:w="1555" w:type="dxa"/>
          </w:tcPr>
          <w:p w14:paraId="2D194B9D" w14:textId="77777777" w:rsidR="00275413" w:rsidRPr="00746871" w:rsidRDefault="00275413" w:rsidP="00B62B70">
            <w:pPr>
              <w:ind w:firstLineChars="0" w:firstLine="0"/>
            </w:pPr>
            <w:r w:rsidRPr="00746871">
              <w:rPr>
                <w:rFonts w:hint="eastAsia"/>
              </w:rPr>
              <w:t>参数</w:t>
            </w:r>
            <w:r w:rsidR="00B311BB" w:rsidRPr="00746871">
              <w:rPr>
                <w:rFonts w:hint="eastAsia"/>
              </w:rPr>
              <w:t>6</w:t>
            </w:r>
          </w:p>
        </w:tc>
        <w:tc>
          <w:tcPr>
            <w:tcW w:w="7789" w:type="dxa"/>
          </w:tcPr>
          <w:p w14:paraId="3E76928A" w14:textId="77777777" w:rsidR="00275413" w:rsidRPr="00746871" w:rsidRDefault="00275413" w:rsidP="00B62B70">
            <w:pPr>
              <w:ind w:firstLineChars="0" w:firstLine="0"/>
            </w:pPr>
            <w:r w:rsidRPr="00746871">
              <w:rPr>
                <w:rFonts w:hint="eastAsia"/>
              </w:rPr>
              <w:t>净购入</w:t>
            </w:r>
            <w:r w:rsidR="00E259AD" w:rsidRPr="00746871">
              <w:rPr>
                <w:rFonts w:hint="eastAsia"/>
              </w:rPr>
              <w:t>热力</w:t>
            </w:r>
          </w:p>
        </w:tc>
      </w:tr>
      <w:tr w:rsidR="00275413" w:rsidRPr="00746871" w14:paraId="29AA350B" w14:textId="77777777" w:rsidTr="00C7357A">
        <w:tc>
          <w:tcPr>
            <w:tcW w:w="1555" w:type="dxa"/>
          </w:tcPr>
          <w:p w14:paraId="702AD335" w14:textId="77777777" w:rsidR="00275413" w:rsidRPr="00746871" w:rsidRDefault="00275413" w:rsidP="00B62B70">
            <w:pPr>
              <w:ind w:firstLineChars="0" w:firstLine="0"/>
            </w:pPr>
            <w:r w:rsidRPr="00746871">
              <w:rPr>
                <w:rFonts w:hint="eastAsia"/>
              </w:rPr>
              <w:t>单位</w:t>
            </w:r>
          </w:p>
        </w:tc>
        <w:tc>
          <w:tcPr>
            <w:tcW w:w="7789" w:type="dxa"/>
          </w:tcPr>
          <w:p w14:paraId="35F596E2" w14:textId="77777777" w:rsidR="00275413" w:rsidRPr="00746871" w:rsidRDefault="006016DA" w:rsidP="00B62B70">
            <w:pPr>
              <w:ind w:firstLineChars="0" w:firstLine="0"/>
            </w:pPr>
            <w:r w:rsidRPr="00746871">
              <w:rPr>
                <w:rFonts w:hint="eastAsia"/>
              </w:rPr>
              <w:t>G</w:t>
            </w:r>
            <w:r w:rsidRPr="00746871">
              <w:t>J</w:t>
            </w:r>
          </w:p>
        </w:tc>
      </w:tr>
      <w:tr w:rsidR="00275413" w:rsidRPr="00746871" w14:paraId="3AB3CEE1" w14:textId="77777777" w:rsidTr="00C7357A">
        <w:tc>
          <w:tcPr>
            <w:tcW w:w="1555" w:type="dxa"/>
          </w:tcPr>
          <w:p w14:paraId="01C1B1C7" w14:textId="77777777" w:rsidR="00275413" w:rsidRPr="00746871" w:rsidRDefault="00275413" w:rsidP="00B62B70">
            <w:pPr>
              <w:ind w:firstLineChars="0" w:firstLine="0"/>
            </w:pPr>
            <w:r w:rsidRPr="00746871">
              <w:rPr>
                <w:rFonts w:hint="eastAsia"/>
              </w:rPr>
              <w:t>数据来源</w:t>
            </w:r>
          </w:p>
        </w:tc>
        <w:tc>
          <w:tcPr>
            <w:tcW w:w="7789" w:type="dxa"/>
          </w:tcPr>
          <w:p w14:paraId="7ECDDD68" w14:textId="77777777" w:rsidR="00275413" w:rsidRPr="00746871" w:rsidRDefault="006016DA" w:rsidP="00B62B70">
            <w:pPr>
              <w:ind w:firstLineChars="0" w:firstLine="0"/>
            </w:pPr>
            <w:r w:rsidRPr="00746871">
              <w:rPr>
                <w:rFonts w:hint="eastAsia"/>
              </w:rPr>
              <w:t>报告主体内部的抄表记录，或者供热公司抄表数据。核查员应注意两者结算日期的差异</w:t>
            </w:r>
          </w:p>
        </w:tc>
      </w:tr>
      <w:tr w:rsidR="00275413" w:rsidRPr="00746871" w14:paraId="03398141" w14:textId="77777777" w:rsidTr="00C7357A">
        <w:tc>
          <w:tcPr>
            <w:tcW w:w="1555" w:type="dxa"/>
          </w:tcPr>
          <w:p w14:paraId="1F144E1B" w14:textId="77777777" w:rsidR="00275413" w:rsidRPr="00746871" w:rsidRDefault="00275413" w:rsidP="00B62B70">
            <w:pPr>
              <w:ind w:firstLineChars="0" w:firstLine="0"/>
            </w:pPr>
            <w:r w:rsidRPr="00746871">
              <w:rPr>
                <w:rFonts w:hint="eastAsia"/>
              </w:rPr>
              <w:t>监测方法</w:t>
            </w:r>
          </w:p>
        </w:tc>
        <w:tc>
          <w:tcPr>
            <w:tcW w:w="7789" w:type="dxa"/>
          </w:tcPr>
          <w:p w14:paraId="69051668" w14:textId="77777777" w:rsidR="00275413" w:rsidRPr="00746871" w:rsidRDefault="006016DA" w:rsidP="00B62B70">
            <w:pPr>
              <w:ind w:firstLineChars="0" w:firstLine="0"/>
            </w:pPr>
            <w:r w:rsidRPr="00746871">
              <w:rPr>
                <w:rFonts w:hint="eastAsia"/>
              </w:rPr>
              <w:t>热量计进行计量，或采用供热流量计、供热温度计和压力表计量的数据对供热量进行推算</w:t>
            </w:r>
          </w:p>
        </w:tc>
      </w:tr>
      <w:tr w:rsidR="00275413" w:rsidRPr="00746871" w14:paraId="7217C3D5" w14:textId="77777777" w:rsidTr="00C7357A">
        <w:tc>
          <w:tcPr>
            <w:tcW w:w="1555" w:type="dxa"/>
          </w:tcPr>
          <w:p w14:paraId="50205C8D" w14:textId="77777777" w:rsidR="00275413" w:rsidRPr="00746871" w:rsidRDefault="00275413" w:rsidP="00B62B70">
            <w:pPr>
              <w:ind w:firstLineChars="0" w:firstLine="0"/>
            </w:pPr>
            <w:r w:rsidRPr="00746871">
              <w:rPr>
                <w:rFonts w:hint="eastAsia"/>
              </w:rPr>
              <w:t>监测频次</w:t>
            </w:r>
          </w:p>
        </w:tc>
        <w:tc>
          <w:tcPr>
            <w:tcW w:w="7789" w:type="dxa"/>
          </w:tcPr>
          <w:p w14:paraId="048B6113" w14:textId="77777777" w:rsidR="00275413" w:rsidRPr="00746871" w:rsidRDefault="006016DA" w:rsidP="00B62B70">
            <w:pPr>
              <w:ind w:firstLineChars="0" w:firstLine="0"/>
            </w:pPr>
            <w:r w:rsidRPr="00746871">
              <w:rPr>
                <w:rFonts w:hint="eastAsia"/>
              </w:rPr>
              <w:t>至少每月一次</w:t>
            </w:r>
          </w:p>
        </w:tc>
      </w:tr>
      <w:tr w:rsidR="00275413" w:rsidRPr="00746871" w14:paraId="38DBC37E" w14:textId="77777777" w:rsidTr="00C7357A">
        <w:tc>
          <w:tcPr>
            <w:tcW w:w="1555" w:type="dxa"/>
          </w:tcPr>
          <w:p w14:paraId="14C0A97C" w14:textId="77777777" w:rsidR="00275413" w:rsidRPr="00746871" w:rsidRDefault="00275413" w:rsidP="00B62B70">
            <w:pPr>
              <w:ind w:firstLineChars="0" w:firstLine="0"/>
            </w:pPr>
            <w:r w:rsidRPr="00746871">
              <w:rPr>
                <w:rFonts w:hint="eastAsia"/>
              </w:rPr>
              <w:t>记录频次</w:t>
            </w:r>
          </w:p>
        </w:tc>
        <w:tc>
          <w:tcPr>
            <w:tcW w:w="7789" w:type="dxa"/>
          </w:tcPr>
          <w:p w14:paraId="3E32AB20" w14:textId="77777777" w:rsidR="00275413" w:rsidRPr="00746871" w:rsidRDefault="00E10E0B" w:rsidP="00B62B70">
            <w:pPr>
              <w:ind w:firstLineChars="0" w:firstLine="0"/>
            </w:pPr>
            <w:r w:rsidRPr="00746871">
              <w:rPr>
                <w:rFonts w:hint="eastAsia"/>
              </w:rPr>
              <w:t>和监测频次保持一致</w:t>
            </w:r>
          </w:p>
        </w:tc>
      </w:tr>
      <w:tr w:rsidR="00E10E0B" w:rsidRPr="00746871" w14:paraId="4F18EAFE" w14:textId="77777777" w:rsidTr="00C7357A">
        <w:tc>
          <w:tcPr>
            <w:tcW w:w="1555" w:type="dxa"/>
          </w:tcPr>
          <w:p w14:paraId="1400A50E" w14:textId="77777777" w:rsidR="00E10E0B" w:rsidRPr="00746871" w:rsidRDefault="00E10E0B" w:rsidP="00B62B70">
            <w:pPr>
              <w:ind w:firstLineChars="0" w:firstLine="0"/>
            </w:pPr>
            <w:r w:rsidRPr="00746871">
              <w:rPr>
                <w:rFonts w:hint="eastAsia"/>
              </w:rPr>
              <w:t>核查方法</w:t>
            </w:r>
          </w:p>
        </w:tc>
        <w:tc>
          <w:tcPr>
            <w:tcW w:w="7789" w:type="dxa"/>
          </w:tcPr>
          <w:p w14:paraId="77C8D589" w14:textId="77777777" w:rsidR="00E10E0B" w:rsidRPr="00746871" w:rsidRDefault="00E10E0B" w:rsidP="00795D3E">
            <w:pPr>
              <w:pStyle w:val="afa"/>
              <w:numPr>
                <w:ilvl w:val="0"/>
                <w:numId w:val="12"/>
              </w:numPr>
              <w:ind w:left="0" w:firstLineChars="0" w:firstLine="0"/>
            </w:pPr>
            <w:r w:rsidRPr="00746871">
              <w:rPr>
                <w:rFonts w:hint="eastAsia"/>
              </w:rPr>
              <w:t>现场审核：</w:t>
            </w:r>
            <w:r w:rsidRPr="00746871">
              <w:rPr>
                <w:rFonts w:hint="eastAsia"/>
              </w:rPr>
              <w:t xml:space="preserve"> </w:t>
            </w:r>
            <w:r w:rsidRPr="00746871">
              <w:rPr>
                <w:rFonts w:hint="eastAsia"/>
              </w:rPr>
              <w:t>核查组应现场查看监测设备，确认校准有效期，询问记录人员监测方法、监测频次、统计口径等，询问核算报告的消费量数据来源；</w:t>
            </w:r>
          </w:p>
          <w:p w14:paraId="6EB4E599" w14:textId="77777777" w:rsidR="00E10E0B" w:rsidRPr="00746871" w:rsidRDefault="00E10E0B" w:rsidP="00795D3E">
            <w:pPr>
              <w:pStyle w:val="afa"/>
              <w:numPr>
                <w:ilvl w:val="0"/>
                <w:numId w:val="12"/>
              </w:numPr>
              <w:ind w:left="0" w:firstLineChars="0" w:firstLine="0"/>
            </w:pPr>
            <w:r w:rsidRPr="00746871">
              <w:rPr>
                <w:rFonts w:hint="eastAsia"/>
              </w:rPr>
              <w:t>文件审核：根据核算报告的数据来源，对报告期内的所有数据进行核对，确认是否支撑核算报告的数据；</w:t>
            </w:r>
          </w:p>
          <w:p w14:paraId="2CD9101A" w14:textId="77777777" w:rsidR="00E10E0B" w:rsidRPr="00746871" w:rsidRDefault="00E10E0B" w:rsidP="00795D3E">
            <w:pPr>
              <w:pStyle w:val="afa"/>
              <w:numPr>
                <w:ilvl w:val="0"/>
                <w:numId w:val="12"/>
              </w:numPr>
              <w:ind w:left="0" w:firstLineChars="0" w:firstLine="0"/>
            </w:pPr>
            <w:r w:rsidRPr="00746871">
              <w:rPr>
                <w:rFonts w:hint="eastAsia"/>
              </w:rPr>
              <w:t>交叉核对：与企业内部的运行日志、热力接线图、供热公司的结算单、购电发票等信息进行交叉核对；</w:t>
            </w:r>
          </w:p>
          <w:p w14:paraId="1E4B701E" w14:textId="77777777" w:rsidR="00E10E0B" w:rsidRPr="00746871" w:rsidRDefault="00E10E0B" w:rsidP="00795D3E">
            <w:pPr>
              <w:pStyle w:val="afa"/>
              <w:numPr>
                <w:ilvl w:val="0"/>
                <w:numId w:val="12"/>
              </w:numPr>
              <w:ind w:left="0" w:firstLineChars="0" w:firstLine="0"/>
            </w:pPr>
            <w:r w:rsidRPr="00746871">
              <w:rPr>
                <w:rFonts w:hint="eastAsia"/>
              </w:rPr>
              <w:t>核查结论：核查组应在核查报告中描述具体值</w:t>
            </w:r>
          </w:p>
        </w:tc>
      </w:tr>
    </w:tbl>
    <w:p w14:paraId="39FC677F" w14:textId="77777777" w:rsidR="00653578" w:rsidRPr="00746871" w:rsidRDefault="00653578" w:rsidP="00275413">
      <w:pPr>
        <w:ind w:firstLine="420"/>
        <w:jc w:val="center"/>
      </w:pPr>
    </w:p>
    <w:p w14:paraId="1EC0BBAD" w14:textId="05FF9B7B" w:rsidR="00275413" w:rsidRPr="00746871" w:rsidRDefault="00275413" w:rsidP="00275413">
      <w:pPr>
        <w:ind w:firstLine="420"/>
        <w:jc w:val="center"/>
      </w:pPr>
      <w:r w:rsidRPr="00746871">
        <w:rPr>
          <w:rFonts w:hint="eastAsia"/>
        </w:rPr>
        <w:t>表</w:t>
      </w:r>
      <w:r w:rsidR="00F91F2E" w:rsidRPr="00746871">
        <w:t>7</w:t>
      </w:r>
      <w:r w:rsidRPr="00746871">
        <w:t xml:space="preserve"> </w:t>
      </w:r>
      <w:r w:rsidR="00B311BB" w:rsidRPr="00746871">
        <w:rPr>
          <w:rFonts w:hint="eastAsia"/>
        </w:rPr>
        <w:t>热力排放因子</w:t>
      </w:r>
    </w:p>
    <w:tbl>
      <w:tblPr>
        <w:tblStyle w:val="afc"/>
        <w:tblW w:w="9344" w:type="dxa"/>
        <w:tblLook w:val="04A0" w:firstRow="1" w:lastRow="0" w:firstColumn="1" w:lastColumn="0" w:noHBand="0" w:noVBand="1"/>
      </w:tblPr>
      <w:tblGrid>
        <w:gridCol w:w="1555"/>
        <w:gridCol w:w="7789"/>
      </w:tblGrid>
      <w:tr w:rsidR="004A5FB8" w:rsidRPr="00746871" w14:paraId="20D4161F" w14:textId="77777777" w:rsidTr="004A5FB8">
        <w:tc>
          <w:tcPr>
            <w:tcW w:w="1555" w:type="dxa"/>
          </w:tcPr>
          <w:p w14:paraId="62ECAECB" w14:textId="77777777" w:rsidR="004A5FB8" w:rsidRPr="00746871" w:rsidRDefault="004A5FB8" w:rsidP="00B62B70">
            <w:pPr>
              <w:ind w:firstLineChars="0" w:firstLine="0"/>
            </w:pPr>
            <w:r w:rsidRPr="00746871">
              <w:rPr>
                <w:rFonts w:hint="eastAsia"/>
              </w:rPr>
              <w:t>参数</w:t>
            </w:r>
            <w:r w:rsidRPr="00746871">
              <w:rPr>
                <w:rFonts w:hint="eastAsia"/>
              </w:rPr>
              <w:t>7</w:t>
            </w:r>
          </w:p>
        </w:tc>
        <w:tc>
          <w:tcPr>
            <w:tcW w:w="7789" w:type="dxa"/>
          </w:tcPr>
          <w:p w14:paraId="2CFA7E82" w14:textId="77777777" w:rsidR="004A5FB8" w:rsidRPr="00746871" w:rsidRDefault="004A5FB8" w:rsidP="00B62B70">
            <w:pPr>
              <w:ind w:firstLineChars="0" w:firstLine="0"/>
            </w:pPr>
            <w:r w:rsidRPr="00746871">
              <w:rPr>
                <w:rFonts w:hint="eastAsia"/>
              </w:rPr>
              <w:t>热力排放因子</w:t>
            </w:r>
          </w:p>
        </w:tc>
      </w:tr>
      <w:tr w:rsidR="004A5FB8" w:rsidRPr="00746871" w14:paraId="70CD5D8C" w14:textId="77777777" w:rsidTr="004A5FB8">
        <w:tc>
          <w:tcPr>
            <w:tcW w:w="1555" w:type="dxa"/>
          </w:tcPr>
          <w:p w14:paraId="03617563" w14:textId="77777777" w:rsidR="004A5FB8" w:rsidRPr="00746871" w:rsidRDefault="004A5FB8" w:rsidP="00B62B70">
            <w:pPr>
              <w:ind w:firstLineChars="0" w:firstLine="0"/>
            </w:pPr>
            <w:r w:rsidRPr="00746871">
              <w:rPr>
                <w:rFonts w:hint="eastAsia"/>
              </w:rPr>
              <w:t>单位</w:t>
            </w:r>
          </w:p>
        </w:tc>
        <w:tc>
          <w:tcPr>
            <w:tcW w:w="7789" w:type="dxa"/>
          </w:tcPr>
          <w:p w14:paraId="4CE10D70" w14:textId="77777777" w:rsidR="004A5FB8" w:rsidRPr="00746871" w:rsidRDefault="004A5FB8" w:rsidP="00B62B70">
            <w:pPr>
              <w:ind w:firstLineChars="0" w:firstLine="0"/>
            </w:pPr>
            <w:r w:rsidRPr="00746871">
              <w:rPr>
                <w:rFonts w:hint="eastAsia"/>
              </w:rPr>
              <w:t>吨二氧化碳</w:t>
            </w:r>
            <w:r w:rsidRPr="00746871">
              <w:rPr>
                <w:rFonts w:hint="eastAsia"/>
              </w:rPr>
              <w:t>/</w:t>
            </w:r>
            <w:r w:rsidRPr="00746871">
              <w:rPr>
                <w:rFonts w:hint="eastAsia"/>
              </w:rPr>
              <w:t>吉焦（</w:t>
            </w:r>
            <w:r w:rsidRPr="00746871">
              <w:rPr>
                <w:rFonts w:hint="eastAsia"/>
              </w:rPr>
              <w:t>t</w:t>
            </w:r>
            <w:r w:rsidRPr="00746871">
              <w:t>CO</w:t>
            </w:r>
            <w:r w:rsidRPr="00746871">
              <w:rPr>
                <w:vertAlign w:val="subscript"/>
              </w:rPr>
              <w:t>2</w:t>
            </w:r>
            <w:r w:rsidRPr="00746871">
              <w:t>/GJ</w:t>
            </w:r>
            <w:r w:rsidRPr="00746871">
              <w:rPr>
                <w:rFonts w:hint="eastAsia"/>
              </w:rPr>
              <w:t>）</w:t>
            </w:r>
          </w:p>
        </w:tc>
      </w:tr>
      <w:tr w:rsidR="004A5FB8" w:rsidRPr="00746871" w14:paraId="1705D296" w14:textId="77777777" w:rsidTr="004A5FB8">
        <w:tc>
          <w:tcPr>
            <w:tcW w:w="1555" w:type="dxa"/>
          </w:tcPr>
          <w:p w14:paraId="118AB83A" w14:textId="77777777" w:rsidR="004A5FB8" w:rsidRPr="00746871" w:rsidRDefault="004A5FB8" w:rsidP="00B62B70">
            <w:pPr>
              <w:ind w:firstLineChars="0" w:firstLine="0"/>
            </w:pPr>
            <w:r w:rsidRPr="00746871">
              <w:rPr>
                <w:rFonts w:hint="eastAsia"/>
              </w:rPr>
              <w:t>数据来源</w:t>
            </w:r>
          </w:p>
        </w:tc>
        <w:tc>
          <w:tcPr>
            <w:tcW w:w="7789" w:type="dxa"/>
          </w:tcPr>
          <w:p w14:paraId="11CA3FFF" w14:textId="6EDF6945" w:rsidR="004A5FB8" w:rsidRPr="00746871" w:rsidRDefault="00E6084C" w:rsidP="00B62B70">
            <w:pPr>
              <w:ind w:firstLineChars="0" w:firstLine="0"/>
            </w:pPr>
            <w:r w:rsidRPr="00746871">
              <w:rPr>
                <w:rFonts w:hint="eastAsia"/>
              </w:rPr>
              <w:t>0</w:t>
            </w:r>
            <w:r w:rsidRPr="00746871">
              <w:t>.11</w:t>
            </w:r>
          </w:p>
        </w:tc>
      </w:tr>
      <w:tr w:rsidR="004A5FB8" w:rsidRPr="00746871" w14:paraId="2D32C3F8" w14:textId="77777777" w:rsidTr="004A5FB8">
        <w:tc>
          <w:tcPr>
            <w:tcW w:w="1555" w:type="dxa"/>
          </w:tcPr>
          <w:p w14:paraId="556C79C4" w14:textId="77777777" w:rsidR="004A5FB8" w:rsidRPr="00746871" w:rsidRDefault="004A5FB8" w:rsidP="00B62B70">
            <w:pPr>
              <w:ind w:firstLineChars="0" w:firstLine="0"/>
            </w:pPr>
            <w:r w:rsidRPr="00746871">
              <w:rPr>
                <w:rFonts w:hint="eastAsia"/>
              </w:rPr>
              <w:t>监测方法</w:t>
            </w:r>
          </w:p>
        </w:tc>
        <w:tc>
          <w:tcPr>
            <w:tcW w:w="7789" w:type="dxa"/>
          </w:tcPr>
          <w:p w14:paraId="3D8833AA" w14:textId="77777777" w:rsidR="004A5FB8" w:rsidRPr="00746871" w:rsidRDefault="004A5FB8" w:rsidP="00B62B70">
            <w:pPr>
              <w:ind w:firstLineChars="0" w:firstLine="0"/>
            </w:pPr>
            <w:r w:rsidRPr="00746871">
              <w:rPr>
                <w:rFonts w:hint="eastAsia"/>
              </w:rPr>
              <w:t>-</w:t>
            </w:r>
          </w:p>
        </w:tc>
      </w:tr>
      <w:tr w:rsidR="004A5FB8" w:rsidRPr="00746871" w14:paraId="67076B5A" w14:textId="77777777" w:rsidTr="004A5FB8">
        <w:tc>
          <w:tcPr>
            <w:tcW w:w="1555" w:type="dxa"/>
          </w:tcPr>
          <w:p w14:paraId="0F94D850" w14:textId="77777777" w:rsidR="004A5FB8" w:rsidRPr="00746871" w:rsidRDefault="004A5FB8" w:rsidP="00B62B70">
            <w:pPr>
              <w:ind w:firstLineChars="0" w:firstLine="0"/>
            </w:pPr>
            <w:r w:rsidRPr="00746871">
              <w:rPr>
                <w:rFonts w:hint="eastAsia"/>
              </w:rPr>
              <w:t>监测频次</w:t>
            </w:r>
          </w:p>
        </w:tc>
        <w:tc>
          <w:tcPr>
            <w:tcW w:w="7789" w:type="dxa"/>
          </w:tcPr>
          <w:p w14:paraId="5C3B3905" w14:textId="77777777" w:rsidR="004A5FB8" w:rsidRPr="00746871" w:rsidRDefault="004A5FB8" w:rsidP="00B62B70">
            <w:pPr>
              <w:ind w:firstLineChars="0" w:firstLine="0"/>
            </w:pPr>
            <w:r w:rsidRPr="00746871">
              <w:rPr>
                <w:rFonts w:hint="eastAsia"/>
              </w:rPr>
              <w:t>-</w:t>
            </w:r>
          </w:p>
        </w:tc>
      </w:tr>
      <w:tr w:rsidR="004A5FB8" w:rsidRPr="00746871" w14:paraId="3269028B" w14:textId="77777777" w:rsidTr="004A5FB8">
        <w:tc>
          <w:tcPr>
            <w:tcW w:w="1555" w:type="dxa"/>
          </w:tcPr>
          <w:p w14:paraId="22AE432C" w14:textId="77777777" w:rsidR="004A5FB8" w:rsidRPr="00746871" w:rsidRDefault="004A5FB8" w:rsidP="00B62B70">
            <w:pPr>
              <w:ind w:firstLineChars="0" w:firstLine="0"/>
            </w:pPr>
            <w:r w:rsidRPr="00746871">
              <w:rPr>
                <w:rFonts w:hint="eastAsia"/>
              </w:rPr>
              <w:t>记录频次</w:t>
            </w:r>
          </w:p>
        </w:tc>
        <w:tc>
          <w:tcPr>
            <w:tcW w:w="7789" w:type="dxa"/>
          </w:tcPr>
          <w:p w14:paraId="1253C2E8" w14:textId="77777777" w:rsidR="004A5FB8" w:rsidRPr="00746871" w:rsidRDefault="004A5FB8" w:rsidP="00B62B70">
            <w:pPr>
              <w:ind w:firstLineChars="0" w:firstLine="0"/>
            </w:pPr>
            <w:r w:rsidRPr="00746871">
              <w:rPr>
                <w:rFonts w:hint="eastAsia"/>
              </w:rPr>
              <w:t>-</w:t>
            </w:r>
          </w:p>
        </w:tc>
      </w:tr>
      <w:tr w:rsidR="004A5FB8" w:rsidRPr="00746871" w14:paraId="5FAAE501" w14:textId="77777777" w:rsidTr="004A5FB8">
        <w:tc>
          <w:tcPr>
            <w:tcW w:w="1555" w:type="dxa"/>
          </w:tcPr>
          <w:p w14:paraId="17433A3D" w14:textId="77777777" w:rsidR="004A5FB8" w:rsidRPr="00746871" w:rsidRDefault="004A5FB8" w:rsidP="00B62B70">
            <w:pPr>
              <w:ind w:firstLineChars="0" w:firstLine="0"/>
            </w:pPr>
            <w:r w:rsidRPr="00746871">
              <w:rPr>
                <w:rFonts w:hint="eastAsia"/>
              </w:rPr>
              <w:t>核查方法</w:t>
            </w:r>
          </w:p>
        </w:tc>
        <w:tc>
          <w:tcPr>
            <w:tcW w:w="7789" w:type="dxa"/>
          </w:tcPr>
          <w:p w14:paraId="091E04CD" w14:textId="77777777" w:rsidR="004A5FB8" w:rsidRPr="00746871" w:rsidRDefault="004A5FB8" w:rsidP="00B62B70">
            <w:pPr>
              <w:ind w:firstLineChars="0" w:firstLine="0"/>
            </w:pPr>
            <w:r w:rsidRPr="00746871">
              <w:rPr>
                <w:rFonts w:hint="eastAsia"/>
              </w:rPr>
              <w:t>-</w:t>
            </w:r>
          </w:p>
        </w:tc>
      </w:tr>
    </w:tbl>
    <w:p w14:paraId="0332B541" w14:textId="77777777" w:rsidR="00E565AF" w:rsidRPr="00746871" w:rsidRDefault="00E565AF" w:rsidP="00A30A07">
      <w:pPr>
        <w:pStyle w:val="a9"/>
        <w:spacing w:beforeLines="50" w:before="156" w:afterLines="50" w:after="156"/>
        <w:ind w:firstLineChars="0" w:firstLine="0"/>
        <w:outlineLvl w:val="3"/>
        <w:rPr>
          <w:rFonts w:ascii="黑体" w:eastAsia="黑体" w:hAnsi="黑体" w:cstheme="majorBidi"/>
          <w:bCs/>
          <w:szCs w:val="28"/>
        </w:rPr>
      </w:pPr>
      <w:r w:rsidRPr="00746871">
        <w:rPr>
          <w:rFonts w:ascii="黑体" w:eastAsia="黑体" w:hAnsi="黑体" w:cstheme="majorBidi" w:hint="eastAsia"/>
          <w:bCs/>
          <w:szCs w:val="28"/>
        </w:rPr>
        <w:t>7</w:t>
      </w:r>
      <w:r w:rsidRPr="00746871">
        <w:rPr>
          <w:rFonts w:ascii="黑体" w:eastAsia="黑体" w:hAnsi="黑体" w:cstheme="majorBidi"/>
          <w:bCs/>
          <w:szCs w:val="28"/>
        </w:rPr>
        <w:t xml:space="preserve">.2.6 </w:t>
      </w:r>
      <w:r w:rsidRPr="00746871">
        <w:rPr>
          <w:rFonts w:ascii="黑体" w:eastAsia="黑体" w:hAnsi="黑体" w:cstheme="majorBidi" w:hint="eastAsia"/>
          <w:bCs/>
          <w:szCs w:val="28"/>
        </w:rPr>
        <w:t>计量设备的核查</w:t>
      </w:r>
    </w:p>
    <w:p w14:paraId="43157D8D" w14:textId="03FF5CA5" w:rsidR="00FF6045" w:rsidRPr="00746871" w:rsidRDefault="00AD5D2E" w:rsidP="00FF6045">
      <w:pPr>
        <w:ind w:firstLine="420"/>
      </w:pPr>
      <w:r w:rsidRPr="00746871">
        <w:rPr>
          <w:rFonts w:hint="eastAsia"/>
        </w:rPr>
        <w:t>计量设备的核查是通过书面审核和</w:t>
      </w:r>
      <w:r w:rsidRPr="00746871">
        <w:rPr>
          <w:rFonts w:hint="eastAsia"/>
        </w:rPr>
        <w:t>/</w:t>
      </w:r>
      <w:r w:rsidRPr="00746871">
        <w:rPr>
          <w:rFonts w:hint="eastAsia"/>
        </w:rPr>
        <w:t>或现场察看的方式确认计量设备安装及校准情况，以确定符合</w:t>
      </w:r>
      <w:r w:rsidRPr="00746871">
        <w:rPr>
          <w:rFonts w:hint="eastAsia"/>
        </w:rPr>
        <w:t>G</w:t>
      </w:r>
      <w:r w:rsidRPr="00746871">
        <w:t>B17167</w:t>
      </w:r>
      <w:r w:rsidR="00E6084C" w:rsidRPr="00746871">
        <w:rPr>
          <w:rFonts w:hint="eastAsia"/>
        </w:rPr>
        <w:t>和</w:t>
      </w:r>
      <w:r w:rsidR="00E6084C" w:rsidRPr="00746871">
        <w:rPr>
          <w:rFonts w:hint="eastAsia"/>
        </w:rPr>
        <w:t>GB</w:t>
      </w:r>
      <w:r w:rsidR="00E6084C" w:rsidRPr="00746871">
        <w:t>/T 24851</w:t>
      </w:r>
      <w:r w:rsidR="0093322C" w:rsidRPr="00746871">
        <w:rPr>
          <w:rFonts w:hint="eastAsia"/>
        </w:rPr>
        <w:t>的规定。</w:t>
      </w:r>
    </w:p>
    <w:p w14:paraId="27595A6C" w14:textId="39800BFE" w:rsidR="0093322C" w:rsidRPr="00746871" w:rsidRDefault="0093322C" w:rsidP="00FF6045">
      <w:pPr>
        <w:ind w:firstLine="420"/>
      </w:pPr>
      <w:r w:rsidRPr="00746871">
        <w:rPr>
          <w:rFonts w:hint="eastAsia"/>
        </w:rPr>
        <w:t>对于有自校验计量设备的特殊情况，需进行特别规定。</w:t>
      </w:r>
    </w:p>
    <w:p w14:paraId="3E22B7AA" w14:textId="1BA51C6A" w:rsidR="00E565AF" w:rsidRPr="00746871" w:rsidRDefault="00E565AF" w:rsidP="00A30A07">
      <w:pPr>
        <w:pStyle w:val="a9"/>
        <w:spacing w:beforeLines="50" w:before="156" w:afterLines="50" w:after="156"/>
        <w:ind w:firstLineChars="0" w:firstLine="0"/>
        <w:outlineLvl w:val="3"/>
        <w:rPr>
          <w:rFonts w:ascii="黑体" w:eastAsia="黑体" w:hAnsi="黑体" w:cstheme="majorBidi"/>
          <w:bCs/>
          <w:szCs w:val="28"/>
        </w:rPr>
      </w:pPr>
      <w:r w:rsidRPr="00746871">
        <w:rPr>
          <w:rFonts w:ascii="黑体" w:eastAsia="黑体" w:hAnsi="黑体" w:cstheme="majorBidi" w:hint="eastAsia"/>
          <w:bCs/>
          <w:szCs w:val="28"/>
        </w:rPr>
        <w:t>7</w:t>
      </w:r>
      <w:r w:rsidRPr="00746871">
        <w:rPr>
          <w:rFonts w:ascii="黑体" w:eastAsia="黑体" w:hAnsi="黑体" w:cstheme="majorBidi"/>
          <w:bCs/>
          <w:szCs w:val="28"/>
        </w:rPr>
        <w:t xml:space="preserve">.2.7 </w:t>
      </w:r>
      <w:r w:rsidRPr="00746871">
        <w:rPr>
          <w:rFonts w:ascii="黑体" w:eastAsia="黑体" w:hAnsi="黑体" w:cstheme="majorBidi" w:hint="eastAsia"/>
          <w:bCs/>
          <w:szCs w:val="28"/>
        </w:rPr>
        <w:t>不确定</w:t>
      </w:r>
      <w:r w:rsidR="00F818E1">
        <w:rPr>
          <w:rFonts w:ascii="黑体" w:eastAsia="黑体" w:hAnsi="黑体" w:cstheme="majorBidi" w:hint="eastAsia"/>
          <w:bCs/>
          <w:szCs w:val="28"/>
        </w:rPr>
        <w:t>性</w:t>
      </w:r>
      <w:r w:rsidRPr="00746871">
        <w:rPr>
          <w:rFonts w:ascii="黑体" w:eastAsia="黑体" w:hAnsi="黑体" w:cstheme="majorBidi" w:hint="eastAsia"/>
          <w:bCs/>
          <w:szCs w:val="28"/>
        </w:rPr>
        <w:t>的核查</w:t>
      </w:r>
    </w:p>
    <w:p w14:paraId="54ECCD2C" w14:textId="2966AE34" w:rsidR="00087583" w:rsidRPr="00746871" w:rsidRDefault="001776B3" w:rsidP="00087583">
      <w:pPr>
        <w:ind w:firstLine="420"/>
      </w:pPr>
      <w:r>
        <w:rPr>
          <w:rFonts w:hint="eastAsia"/>
        </w:rPr>
        <w:t>必要时，可对核查的碳排放量进行不确定性分析，参见</w:t>
      </w:r>
      <w:r w:rsidRPr="00746871">
        <w:rPr>
          <w:rFonts w:hint="eastAsia"/>
        </w:rPr>
        <w:t>附录</w:t>
      </w:r>
      <w:r w:rsidRPr="00746871">
        <w:rPr>
          <w:rFonts w:hint="eastAsia"/>
        </w:rPr>
        <w:t>D</w:t>
      </w:r>
      <w:r w:rsidR="00087583" w:rsidRPr="00746871">
        <w:rPr>
          <w:rFonts w:hint="eastAsia"/>
        </w:rPr>
        <w:t>。</w:t>
      </w:r>
    </w:p>
    <w:p w14:paraId="1B87F7B7" w14:textId="77777777" w:rsidR="00E565AF" w:rsidRPr="00746871" w:rsidRDefault="00E565AF" w:rsidP="00A30A07">
      <w:pPr>
        <w:pStyle w:val="a9"/>
        <w:spacing w:beforeLines="50" w:before="156" w:afterLines="50" w:after="156"/>
        <w:ind w:firstLineChars="0" w:firstLine="0"/>
        <w:outlineLvl w:val="3"/>
        <w:rPr>
          <w:rFonts w:ascii="黑体" w:eastAsia="黑体" w:hAnsi="黑体" w:cstheme="majorBidi"/>
          <w:bCs/>
          <w:szCs w:val="28"/>
        </w:rPr>
      </w:pPr>
      <w:r w:rsidRPr="00746871">
        <w:rPr>
          <w:rFonts w:ascii="黑体" w:eastAsia="黑体" w:hAnsi="黑体" w:cstheme="majorBidi" w:hint="eastAsia"/>
          <w:bCs/>
          <w:szCs w:val="28"/>
        </w:rPr>
        <w:t>7</w:t>
      </w:r>
      <w:r w:rsidRPr="00746871">
        <w:rPr>
          <w:rFonts w:ascii="黑体" w:eastAsia="黑体" w:hAnsi="黑体" w:cstheme="majorBidi"/>
          <w:bCs/>
          <w:szCs w:val="28"/>
        </w:rPr>
        <w:t xml:space="preserve">.2.8 </w:t>
      </w:r>
      <w:r w:rsidRPr="00746871">
        <w:rPr>
          <w:rFonts w:ascii="黑体" w:eastAsia="黑体" w:hAnsi="黑体" w:cstheme="majorBidi" w:hint="eastAsia"/>
          <w:bCs/>
          <w:szCs w:val="28"/>
        </w:rPr>
        <w:t>核查发现</w:t>
      </w:r>
    </w:p>
    <w:p w14:paraId="4A36DC14" w14:textId="77777777" w:rsidR="0023776B" w:rsidRPr="00746871" w:rsidRDefault="0023776B" w:rsidP="0023776B">
      <w:pPr>
        <w:ind w:firstLine="420"/>
      </w:pPr>
      <w:r w:rsidRPr="00746871">
        <w:rPr>
          <w:rFonts w:hint="eastAsia"/>
        </w:rPr>
        <w:t>核查组应对报告单位核算报告中的内容与核查过程中确定的实际情况进行对比，向受审核方反馈核查发现，并进行沟通确认。</w:t>
      </w:r>
    </w:p>
    <w:p w14:paraId="35A5D8BD" w14:textId="3BC33137" w:rsidR="0023776B" w:rsidRPr="00746871" w:rsidRDefault="0023776B" w:rsidP="0023776B">
      <w:pPr>
        <w:ind w:firstLine="420"/>
      </w:pPr>
      <w:r w:rsidRPr="00746871">
        <w:rPr>
          <w:rFonts w:hint="eastAsia"/>
        </w:rPr>
        <w:t>涉及边界、活动水平数据、排放因子、计算方法的不符合，核查组应开具不符合报告，需以文字形</w:t>
      </w:r>
      <w:r w:rsidRPr="00746871">
        <w:rPr>
          <w:rFonts w:hint="eastAsia"/>
        </w:rPr>
        <w:lastRenderedPageBreak/>
        <w:t>式提出，经双方确认，并就整改反馈时间及形式达成一致。</w:t>
      </w:r>
    </w:p>
    <w:p w14:paraId="4A43F049" w14:textId="28246D11" w:rsidR="00E7203B" w:rsidRPr="00746871" w:rsidRDefault="00E7203B" w:rsidP="0023776B">
      <w:pPr>
        <w:ind w:firstLine="420"/>
      </w:pPr>
      <w:r w:rsidRPr="00746871">
        <w:rPr>
          <w:rFonts w:hint="eastAsia"/>
        </w:rPr>
        <w:t>核查发现应涵盖以下内容：</w:t>
      </w:r>
    </w:p>
    <w:p w14:paraId="1878E22C" w14:textId="36942D2E" w:rsidR="00E7203B" w:rsidRPr="00746871" w:rsidRDefault="00E7203B" w:rsidP="00D441A5">
      <w:pPr>
        <w:pStyle w:val="afa"/>
        <w:numPr>
          <w:ilvl w:val="0"/>
          <w:numId w:val="24"/>
        </w:numPr>
        <w:ind w:firstLineChars="0" w:firstLine="6"/>
      </w:pPr>
      <w:r w:rsidRPr="00746871">
        <w:rPr>
          <w:rFonts w:hint="eastAsia"/>
        </w:rPr>
        <w:t>监测和报告中存在于核查准则要求不一致，且企业没有将这些不一致充分记录或者提供的符合性证据不符合；</w:t>
      </w:r>
    </w:p>
    <w:p w14:paraId="6D96209D" w14:textId="7ED60068" w:rsidR="00E7203B" w:rsidRPr="00746871" w:rsidRDefault="00E7203B" w:rsidP="00D441A5">
      <w:pPr>
        <w:pStyle w:val="afa"/>
        <w:numPr>
          <w:ilvl w:val="0"/>
          <w:numId w:val="24"/>
        </w:numPr>
        <w:ind w:firstLineChars="0" w:firstLine="6"/>
      </w:pPr>
      <w:r w:rsidRPr="00746871">
        <w:rPr>
          <w:rFonts w:hint="eastAsia"/>
        </w:rPr>
        <w:t>企业没有充分记录的运行中活动对排放量计算有影响的变化；</w:t>
      </w:r>
    </w:p>
    <w:p w14:paraId="72DA80DA" w14:textId="19653920" w:rsidR="00E7203B" w:rsidRPr="00746871" w:rsidRDefault="00E7203B" w:rsidP="00D441A5">
      <w:pPr>
        <w:pStyle w:val="afa"/>
        <w:numPr>
          <w:ilvl w:val="0"/>
          <w:numId w:val="24"/>
        </w:numPr>
        <w:ind w:firstLineChars="0" w:firstLine="6"/>
      </w:pPr>
      <w:r w:rsidRPr="00746871">
        <w:rPr>
          <w:rFonts w:hint="eastAsia"/>
        </w:rPr>
        <w:t>在应用假设、数据或计算时出现了对排放估算产生影响的错误；</w:t>
      </w:r>
    </w:p>
    <w:p w14:paraId="5B4D4449" w14:textId="4805F923" w:rsidR="00E7203B" w:rsidRPr="00746871" w:rsidRDefault="00E7203B" w:rsidP="00D441A5">
      <w:pPr>
        <w:pStyle w:val="afa"/>
        <w:numPr>
          <w:ilvl w:val="0"/>
          <w:numId w:val="24"/>
        </w:numPr>
        <w:ind w:firstLineChars="0" w:firstLine="6"/>
      </w:pPr>
      <w:r w:rsidRPr="00746871">
        <w:rPr>
          <w:rFonts w:hint="eastAsia"/>
        </w:rPr>
        <w:t>如果得到的信息不充分或者不足够清晰以至于无法确定是否满足相关要求时，核查机构应提出澄清要求。</w:t>
      </w:r>
    </w:p>
    <w:p w14:paraId="283399FE" w14:textId="3D146C4C" w:rsidR="00CB0649" w:rsidRPr="00746871" w:rsidRDefault="00CB0649" w:rsidP="00CB0649">
      <w:pPr>
        <w:pStyle w:val="afa"/>
        <w:ind w:left="426" w:firstLineChars="0" w:firstLine="0"/>
      </w:pPr>
      <w:r w:rsidRPr="00746871">
        <w:rPr>
          <w:rFonts w:hint="eastAsia"/>
        </w:rPr>
        <w:t>组织应对提出的所有不符合和澄清要求实施纠正措施或进一步提供证据。</w:t>
      </w:r>
    </w:p>
    <w:p w14:paraId="36788C99" w14:textId="77777777" w:rsidR="00C818A5" w:rsidRPr="00746871" w:rsidRDefault="00C818A5" w:rsidP="00A30A07">
      <w:pPr>
        <w:pStyle w:val="a9"/>
        <w:spacing w:beforeLines="50" w:before="156" w:afterLines="50" w:after="156"/>
        <w:ind w:firstLineChars="0" w:firstLine="0"/>
        <w:outlineLvl w:val="3"/>
        <w:rPr>
          <w:rFonts w:ascii="黑体" w:eastAsia="黑体" w:hAnsi="黑体" w:cstheme="majorBidi"/>
          <w:bCs/>
          <w:szCs w:val="28"/>
        </w:rPr>
      </w:pPr>
      <w:r w:rsidRPr="00746871">
        <w:rPr>
          <w:rFonts w:ascii="黑体" w:eastAsia="黑体" w:hAnsi="黑体" w:cstheme="majorBidi" w:hint="eastAsia"/>
          <w:bCs/>
          <w:szCs w:val="28"/>
        </w:rPr>
        <w:t>7</w:t>
      </w:r>
      <w:r w:rsidRPr="00746871">
        <w:rPr>
          <w:rFonts w:ascii="黑体" w:eastAsia="黑体" w:hAnsi="黑体" w:cstheme="majorBidi"/>
          <w:bCs/>
          <w:szCs w:val="28"/>
        </w:rPr>
        <w:t xml:space="preserve">.2.9 </w:t>
      </w:r>
      <w:r w:rsidRPr="00746871">
        <w:rPr>
          <w:rFonts w:ascii="黑体" w:eastAsia="黑体" w:hAnsi="黑体" w:cstheme="majorBidi" w:hint="eastAsia"/>
          <w:bCs/>
          <w:szCs w:val="28"/>
        </w:rPr>
        <w:t>核查发现的反馈</w:t>
      </w:r>
    </w:p>
    <w:p w14:paraId="49B69D6D" w14:textId="77777777" w:rsidR="00253260" w:rsidRPr="00746871" w:rsidRDefault="00253260" w:rsidP="00253260">
      <w:pPr>
        <w:ind w:firstLine="420"/>
      </w:pPr>
      <w:r w:rsidRPr="00746871">
        <w:rPr>
          <w:rFonts w:hint="eastAsia"/>
        </w:rPr>
        <w:t>核查组在受审核方对核查发现进行反馈后，应对核算、报告与方法学的符合性行程结论，包括校正后的排放量、排放设施的变化、核查未覆盖问题等。</w:t>
      </w:r>
    </w:p>
    <w:p w14:paraId="7DC24240" w14:textId="77777777" w:rsidR="00E565AF" w:rsidRPr="00746871" w:rsidRDefault="00E565AF" w:rsidP="000524A2">
      <w:pPr>
        <w:pStyle w:val="a2"/>
        <w:numPr>
          <w:ilvl w:val="0"/>
          <w:numId w:val="4"/>
        </w:numPr>
      </w:pPr>
      <w:bookmarkStart w:id="66" w:name="_Toc17464318"/>
      <w:r w:rsidRPr="00746871">
        <w:rPr>
          <w:rFonts w:hint="eastAsia"/>
        </w:rPr>
        <w:t>数据质量要求</w:t>
      </w:r>
      <w:bookmarkEnd w:id="66"/>
    </w:p>
    <w:p w14:paraId="2074816B" w14:textId="5EF936BD" w:rsidR="005A0EFD" w:rsidRPr="00746871" w:rsidRDefault="005A0EFD" w:rsidP="00AB197E">
      <w:pPr>
        <w:pStyle w:val="a3"/>
        <w:numPr>
          <w:ilvl w:val="0"/>
          <w:numId w:val="0"/>
        </w:numPr>
        <w:spacing w:before="156" w:after="156"/>
      </w:pPr>
      <w:r w:rsidRPr="00746871">
        <w:rPr>
          <w:rFonts w:hint="eastAsia"/>
        </w:rPr>
        <w:t>7</w:t>
      </w:r>
      <w:r w:rsidRPr="00746871">
        <w:t xml:space="preserve">.3.1 </w:t>
      </w:r>
      <w:r w:rsidR="000910AD" w:rsidRPr="00746871">
        <w:rPr>
          <w:rFonts w:hint="eastAsia"/>
        </w:rPr>
        <w:t>统计数据</w:t>
      </w:r>
    </w:p>
    <w:p w14:paraId="0138C92D" w14:textId="151EBE32" w:rsidR="008307A7" w:rsidRPr="00746871" w:rsidRDefault="008307A7" w:rsidP="005A0EFD">
      <w:pPr>
        <w:ind w:firstLine="420"/>
      </w:pPr>
      <w:r w:rsidRPr="00746871">
        <w:rPr>
          <w:rFonts w:hint="eastAsia"/>
        </w:rPr>
        <w:t>统计数据应符合以下要求：</w:t>
      </w:r>
    </w:p>
    <w:p w14:paraId="7B04D66B" w14:textId="2F946D84" w:rsidR="008307A7" w:rsidRPr="00746871" w:rsidRDefault="008307A7" w:rsidP="00F06D83">
      <w:pPr>
        <w:pStyle w:val="afa"/>
        <w:numPr>
          <w:ilvl w:val="0"/>
          <w:numId w:val="35"/>
        </w:numPr>
        <w:ind w:left="840" w:firstLineChars="0"/>
      </w:pPr>
      <w:r w:rsidRPr="00746871">
        <w:rPr>
          <w:rFonts w:hint="eastAsia"/>
        </w:rPr>
        <w:t>数据来源明确；</w:t>
      </w:r>
    </w:p>
    <w:p w14:paraId="6C3A212A" w14:textId="1932FC97" w:rsidR="008307A7" w:rsidRPr="00746871" w:rsidRDefault="008307A7" w:rsidP="00F06D83">
      <w:pPr>
        <w:pStyle w:val="afa"/>
        <w:numPr>
          <w:ilvl w:val="0"/>
          <w:numId w:val="35"/>
        </w:numPr>
        <w:ind w:left="840" w:firstLineChars="0"/>
      </w:pPr>
      <w:r w:rsidRPr="00746871">
        <w:rPr>
          <w:rFonts w:hint="eastAsia"/>
        </w:rPr>
        <w:t>数据原始记录规范，依据相关制度按照确定的频次、格式进行记录</w:t>
      </w:r>
      <w:r w:rsidR="00F06D83" w:rsidRPr="00746871">
        <w:rPr>
          <w:rFonts w:hint="eastAsia"/>
        </w:rPr>
        <w:t>；</w:t>
      </w:r>
    </w:p>
    <w:p w14:paraId="4B9BE4D8" w14:textId="2ED5FEE3" w:rsidR="008307A7" w:rsidRPr="00746871" w:rsidRDefault="008307A7" w:rsidP="00F06D83">
      <w:pPr>
        <w:pStyle w:val="afa"/>
        <w:numPr>
          <w:ilvl w:val="0"/>
          <w:numId w:val="35"/>
        </w:numPr>
        <w:ind w:left="840" w:firstLineChars="0"/>
      </w:pPr>
      <w:r w:rsidRPr="00746871">
        <w:rPr>
          <w:rFonts w:hint="eastAsia"/>
        </w:rPr>
        <w:t>活动水平数据采用独立的计量器具监测，定期汇总统计，</w:t>
      </w:r>
      <w:r w:rsidR="00F06D83" w:rsidRPr="00746871">
        <w:rPr>
          <w:rFonts w:hint="eastAsia"/>
        </w:rPr>
        <w:t>数据记录齐全；</w:t>
      </w:r>
    </w:p>
    <w:p w14:paraId="7326B8BC" w14:textId="77777777" w:rsidR="00F06D83" w:rsidRPr="00746871" w:rsidRDefault="00F06D83" w:rsidP="00F06D83">
      <w:pPr>
        <w:pStyle w:val="afa"/>
        <w:numPr>
          <w:ilvl w:val="0"/>
          <w:numId w:val="35"/>
        </w:numPr>
        <w:ind w:left="840" w:firstLineChars="0"/>
      </w:pPr>
      <w:r w:rsidRPr="00746871">
        <w:rPr>
          <w:rFonts w:hint="eastAsia"/>
        </w:rPr>
        <w:t>能源数据链，包括：购买（购买合同）、供应（材料供应单）、消耗（生产能耗记录）、库存（库存清单）要完整</w:t>
      </w:r>
    </w:p>
    <w:p w14:paraId="067D5127" w14:textId="77777777" w:rsidR="00F06D83" w:rsidRPr="00746871" w:rsidRDefault="00F06D83" w:rsidP="00F06D83">
      <w:pPr>
        <w:pStyle w:val="afa"/>
        <w:numPr>
          <w:ilvl w:val="0"/>
          <w:numId w:val="35"/>
        </w:numPr>
        <w:ind w:left="840" w:firstLineChars="0"/>
      </w:pPr>
      <w:r w:rsidRPr="00746871">
        <w:rPr>
          <w:rFonts w:hint="eastAsia"/>
        </w:rPr>
        <w:t>对于因特殊情况，如年度检修、故障维护等导致统计数据缺失的情况，需提供证明材料。</w:t>
      </w:r>
    </w:p>
    <w:p w14:paraId="3095BC90" w14:textId="6A1D70CD" w:rsidR="005A0EFD" w:rsidRPr="00746871" w:rsidRDefault="00AF3512" w:rsidP="00F06D83">
      <w:pPr>
        <w:pStyle w:val="afa"/>
        <w:numPr>
          <w:ilvl w:val="0"/>
          <w:numId w:val="35"/>
        </w:numPr>
        <w:ind w:left="840" w:firstLineChars="0"/>
      </w:pPr>
      <w:r w:rsidRPr="00746871">
        <w:rPr>
          <w:rFonts w:hint="eastAsia"/>
        </w:rPr>
        <w:t>排放因子来源企业的内部监测或缺省值，监测值应定期统计，统计周期不超过</w:t>
      </w:r>
      <w:r w:rsidRPr="00746871">
        <w:rPr>
          <w:rFonts w:hint="eastAsia"/>
        </w:rPr>
        <w:t>1</w:t>
      </w:r>
      <w:r w:rsidRPr="00746871">
        <w:rPr>
          <w:rFonts w:hint="eastAsia"/>
        </w:rPr>
        <w:t>个月。</w:t>
      </w:r>
    </w:p>
    <w:p w14:paraId="7B6FC038" w14:textId="77777777" w:rsidR="00AF3512" w:rsidRPr="00746871" w:rsidRDefault="00AF3512" w:rsidP="00AB197E">
      <w:pPr>
        <w:pStyle w:val="a3"/>
        <w:numPr>
          <w:ilvl w:val="0"/>
          <w:numId w:val="0"/>
        </w:numPr>
        <w:spacing w:before="156" w:after="156"/>
      </w:pPr>
      <w:r w:rsidRPr="00746871">
        <w:rPr>
          <w:rFonts w:hint="eastAsia"/>
        </w:rPr>
        <w:t>7</w:t>
      </w:r>
      <w:r w:rsidRPr="00746871">
        <w:t xml:space="preserve">.3.2 </w:t>
      </w:r>
      <w:r w:rsidRPr="00746871">
        <w:rPr>
          <w:rFonts w:hint="eastAsia"/>
        </w:rPr>
        <w:t>引用数据</w:t>
      </w:r>
    </w:p>
    <w:p w14:paraId="4BADCBD2" w14:textId="77777777" w:rsidR="00390A3C" w:rsidRDefault="00390A3C" w:rsidP="00600A0D">
      <w:pPr>
        <w:pStyle w:val="Default"/>
        <w:spacing w:beforeLines="50" w:before="156"/>
        <w:ind w:firstLine="420"/>
        <w:rPr>
          <w:sz w:val="21"/>
          <w:szCs w:val="21"/>
        </w:rPr>
      </w:pPr>
      <w:r w:rsidRPr="00390A3C">
        <w:rPr>
          <w:rFonts w:hint="eastAsia"/>
          <w:sz w:val="21"/>
          <w:szCs w:val="21"/>
        </w:rPr>
        <w:t>针对报告主体的引用数据，如省级温室气体清单、国家统计局及</w:t>
      </w:r>
      <w:r w:rsidRPr="00390A3C">
        <w:rPr>
          <w:rFonts w:hint="eastAsia"/>
          <w:sz w:val="21"/>
          <w:szCs w:val="21"/>
        </w:rPr>
        <w:t>IPCC</w:t>
      </w:r>
      <w:r w:rsidRPr="00390A3C">
        <w:rPr>
          <w:rFonts w:hint="eastAsia"/>
          <w:sz w:val="21"/>
          <w:szCs w:val="21"/>
        </w:rPr>
        <w:t>等发布的数据，核查机构须确认引用数据来源于官方正式发布的文件，且选择顺序应为：地区发布数据、国家发布数据、国际发布数据。</w:t>
      </w:r>
    </w:p>
    <w:p w14:paraId="6586AE48" w14:textId="3D99ADD0" w:rsidR="00600A0D" w:rsidRPr="00746871" w:rsidRDefault="00600A0D" w:rsidP="00600A0D">
      <w:pPr>
        <w:pStyle w:val="Default"/>
        <w:spacing w:beforeLines="50" w:before="156"/>
        <w:ind w:firstLine="420"/>
        <w:rPr>
          <w:sz w:val="21"/>
          <w:szCs w:val="21"/>
        </w:rPr>
      </w:pPr>
      <w:r w:rsidRPr="00746871">
        <w:rPr>
          <w:rFonts w:hint="eastAsia"/>
          <w:sz w:val="21"/>
          <w:szCs w:val="21"/>
        </w:rPr>
        <w:t>排放因子一般包括报告主体自行检测的、所在区域发布的、国家发布的和国际可得的共</w:t>
      </w:r>
      <w:r w:rsidRPr="00746871">
        <w:rPr>
          <w:rFonts w:hint="eastAsia"/>
          <w:sz w:val="21"/>
          <w:szCs w:val="21"/>
        </w:rPr>
        <w:t>4</w:t>
      </w:r>
      <w:r w:rsidRPr="00746871">
        <w:rPr>
          <w:rFonts w:hint="eastAsia"/>
          <w:sz w:val="21"/>
          <w:szCs w:val="21"/>
        </w:rPr>
        <w:t>类，应符合以下要求：</w:t>
      </w:r>
    </w:p>
    <w:p w14:paraId="7AD8F3C4" w14:textId="77777777" w:rsidR="00600A0D" w:rsidRPr="00746871" w:rsidRDefault="00600A0D" w:rsidP="00600A0D">
      <w:pPr>
        <w:pStyle w:val="afa"/>
        <w:numPr>
          <w:ilvl w:val="0"/>
          <w:numId w:val="36"/>
        </w:numPr>
        <w:ind w:left="840" w:firstLineChars="0"/>
      </w:pPr>
      <w:r w:rsidRPr="00746871">
        <w:rPr>
          <w:rFonts w:hint="eastAsia"/>
        </w:rPr>
        <w:t>来源明确，有公信力；</w:t>
      </w:r>
    </w:p>
    <w:p w14:paraId="5FC81D54" w14:textId="77777777" w:rsidR="00600A0D" w:rsidRPr="00746871" w:rsidRDefault="00600A0D" w:rsidP="00600A0D">
      <w:pPr>
        <w:pStyle w:val="afa"/>
        <w:numPr>
          <w:ilvl w:val="0"/>
          <w:numId w:val="36"/>
        </w:numPr>
        <w:ind w:left="840" w:firstLineChars="0"/>
      </w:pPr>
      <w:r w:rsidRPr="00746871">
        <w:rPr>
          <w:rFonts w:hint="eastAsia"/>
        </w:rPr>
        <w:t>适用性；</w:t>
      </w:r>
    </w:p>
    <w:p w14:paraId="1F7863D3" w14:textId="51EBD7F1" w:rsidR="00600A0D" w:rsidRPr="00746871" w:rsidRDefault="00600A0D" w:rsidP="00600A0D">
      <w:pPr>
        <w:pStyle w:val="afa"/>
        <w:numPr>
          <w:ilvl w:val="0"/>
          <w:numId w:val="36"/>
        </w:numPr>
        <w:ind w:left="840" w:firstLineChars="0"/>
      </w:pPr>
      <w:r w:rsidRPr="00746871">
        <w:rPr>
          <w:rFonts w:hint="eastAsia"/>
        </w:rPr>
        <w:t>时效性。</w:t>
      </w:r>
    </w:p>
    <w:p w14:paraId="475D01B7" w14:textId="77777777" w:rsidR="009257B1" w:rsidRPr="00746871" w:rsidRDefault="009257B1" w:rsidP="00AB197E">
      <w:pPr>
        <w:pStyle w:val="a3"/>
        <w:numPr>
          <w:ilvl w:val="0"/>
          <w:numId w:val="0"/>
        </w:numPr>
        <w:spacing w:before="156" w:after="156"/>
      </w:pPr>
      <w:r w:rsidRPr="00746871">
        <w:rPr>
          <w:rFonts w:hint="eastAsia"/>
        </w:rPr>
        <w:t>7</w:t>
      </w:r>
      <w:r w:rsidRPr="00746871">
        <w:t xml:space="preserve">.3.3 </w:t>
      </w:r>
      <w:r w:rsidRPr="00746871">
        <w:rPr>
          <w:rFonts w:hint="eastAsia"/>
        </w:rPr>
        <w:t>缺失数据的处理</w:t>
      </w:r>
    </w:p>
    <w:p w14:paraId="561796A8" w14:textId="77777777" w:rsidR="009257B1" w:rsidRPr="00746871" w:rsidRDefault="009257B1" w:rsidP="005A0EFD">
      <w:pPr>
        <w:ind w:firstLine="420"/>
      </w:pPr>
      <w:r w:rsidRPr="00746871">
        <w:rPr>
          <w:rFonts w:hint="eastAsia"/>
        </w:rPr>
        <w:t>对于碳排放核算过程中涉及的缺失数据，核查组应要求受审核方说明原因，同时提供替代数据的证据。</w:t>
      </w:r>
    </w:p>
    <w:p w14:paraId="7A3C76AB" w14:textId="7499B2FC" w:rsidR="0028150B" w:rsidRPr="00746871" w:rsidRDefault="0028150B" w:rsidP="005A0EFD">
      <w:pPr>
        <w:ind w:firstLine="420"/>
      </w:pPr>
      <w:r w:rsidRPr="00746871">
        <w:rPr>
          <w:rFonts w:hint="eastAsia"/>
        </w:rPr>
        <w:t>对于电力</w:t>
      </w:r>
      <w:r w:rsidR="00C12870">
        <w:rPr>
          <w:rFonts w:hint="eastAsia"/>
        </w:rPr>
        <w:t>或热力</w:t>
      </w:r>
      <w:r w:rsidRPr="00746871">
        <w:rPr>
          <w:rFonts w:hint="eastAsia"/>
        </w:rPr>
        <w:t>购买数据缺失</w:t>
      </w:r>
      <w:r w:rsidR="00ED1F3D" w:rsidRPr="00746871">
        <w:rPr>
          <w:rFonts w:hint="eastAsia"/>
        </w:rPr>
        <w:t>，可</w:t>
      </w:r>
      <w:r w:rsidRPr="00746871">
        <w:rPr>
          <w:rFonts w:hint="eastAsia"/>
        </w:rPr>
        <w:t>联系电力</w:t>
      </w:r>
      <w:r w:rsidR="00C12870">
        <w:rPr>
          <w:rFonts w:hint="eastAsia"/>
        </w:rPr>
        <w:t>或热力</w:t>
      </w:r>
      <w:r w:rsidRPr="00746871">
        <w:rPr>
          <w:rFonts w:hint="eastAsia"/>
        </w:rPr>
        <w:t>供应商补打印缺失两个月的电力结算单</w:t>
      </w:r>
      <w:r w:rsidR="00ED1F3D" w:rsidRPr="00746871">
        <w:rPr>
          <w:rFonts w:hint="eastAsia"/>
        </w:rPr>
        <w:t>，也可</w:t>
      </w:r>
      <w:r w:rsidRPr="00746871">
        <w:rPr>
          <w:rFonts w:hint="eastAsia"/>
        </w:rPr>
        <w:t>利用与缺失数据最近并且产量相近的同样时间段的单位产品消耗量推算；</w:t>
      </w:r>
    </w:p>
    <w:p w14:paraId="48CB75BF" w14:textId="2361DBFB" w:rsidR="0028150B" w:rsidRPr="00746871" w:rsidRDefault="0028150B" w:rsidP="005A0EFD">
      <w:pPr>
        <w:ind w:firstLine="420"/>
      </w:pPr>
      <w:r w:rsidRPr="00746871">
        <w:rPr>
          <w:rFonts w:hint="eastAsia"/>
        </w:rPr>
        <w:t>对于化石燃料数据的缺失，可利用</w:t>
      </w:r>
      <w:r w:rsidR="00ED1F3D" w:rsidRPr="00746871">
        <w:rPr>
          <w:rFonts w:hint="eastAsia"/>
        </w:rPr>
        <w:t>距离数据缺失期最近并且负荷相近的同样时间段的化石燃料进行推算；</w:t>
      </w:r>
    </w:p>
    <w:p w14:paraId="09A96ABD" w14:textId="1F0E5216" w:rsidR="009257B1" w:rsidRPr="00746871" w:rsidRDefault="009257B1" w:rsidP="005A0EFD">
      <w:pPr>
        <w:ind w:firstLine="420"/>
      </w:pPr>
      <w:r w:rsidRPr="00746871">
        <w:rPr>
          <w:rFonts w:hint="eastAsia"/>
        </w:rPr>
        <w:lastRenderedPageBreak/>
        <w:t>对于低位发热量、碳氧化率等采用实测值的，如部分数据缺失，可根据燃料种类、产地等，采用类似品种燃料的数值替代，或采用统计期内其他未缺失数据的平均值替代</w:t>
      </w:r>
      <w:r w:rsidR="00404825">
        <w:rPr>
          <w:rFonts w:hint="eastAsia"/>
        </w:rPr>
        <w:t>，也可采用附录</w:t>
      </w:r>
      <w:r w:rsidR="00404825">
        <w:rPr>
          <w:rFonts w:hint="eastAsia"/>
        </w:rPr>
        <w:t>C</w:t>
      </w:r>
      <w:r w:rsidR="00404825">
        <w:rPr>
          <w:rFonts w:hint="eastAsia"/>
        </w:rPr>
        <w:t>给出的缺省值</w:t>
      </w:r>
      <w:r w:rsidRPr="00746871">
        <w:rPr>
          <w:rFonts w:hint="eastAsia"/>
        </w:rPr>
        <w:t>。</w:t>
      </w:r>
    </w:p>
    <w:p w14:paraId="756834BA" w14:textId="77777777" w:rsidR="007668F0" w:rsidRPr="00746871" w:rsidRDefault="007668F0" w:rsidP="007668F0">
      <w:pPr>
        <w:pStyle w:val="a1"/>
        <w:numPr>
          <w:ilvl w:val="0"/>
          <w:numId w:val="1"/>
        </w:numPr>
      </w:pPr>
      <w:bookmarkStart w:id="67" w:name="_Toc17464319"/>
      <w:r w:rsidRPr="00746871">
        <w:rPr>
          <w:rFonts w:hint="eastAsia"/>
        </w:rPr>
        <w:t>核查报告</w:t>
      </w:r>
      <w:bookmarkEnd w:id="67"/>
    </w:p>
    <w:p w14:paraId="39BBC127" w14:textId="77777777" w:rsidR="007668F0" w:rsidRPr="00746871" w:rsidRDefault="007668F0" w:rsidP="000524A2">
      <w:pPr>
        <w:pStyle w:val="a2"/>
        <w:numPr>
          <w:ilvl w:val="0"/>
          <w:numId w:val="5"/>
        </w:numPr>
      </w:pPr>
      <w:bookmarkStart w:id="68" w:name="_Toc17464320"/>
      <w:r w:rsidRPr="00746871">
        <w:rPr>
          <w:rFonts w:hint="eastAsia"/>
        </w:rPr>
        <w:t>报告的编制</w:t>
      </w:r>
      <w:bookmarkEnd w:id="68"/>
    </w:p>
    <w:p w14:paraId="72EDB920" w14:textId="77777777" w:rsidR="007668F0" w:rsidRPr="00746871" w:rsidRDefault="00045E73" w:rsidP="00045E73">
      <w:pPr>
        <w:pStyle w:val="a3"/>
        <w:numPr>
          <w:ilvl w:val="0"/>
          <w:numId w:val="0"/>
        </w:numPr>
        <w:spacing w:before="156" w:after="156"/>
      </w:pPr>
      <w:r w:rsidRPr="00746871">
        <w:rPr>
          <w:rFonts w:hint="eastAsia"/>
        </w:rPr>
        <w:t>8</w:t>
      </w:r>
      <w:r w:rsidRPr="00746871">
        <w:t xml:space="preserve">.1.1 </w:t>
      </w:r>
      <w:r w:rsidR="001B0290" w:rsidRPr="00746871">
        <w:rPr>
          <w:rFonts w:hint="eastAsia"/>
        </w:rPr>
        <w:t>核查报告格式</w:t>
      </w:r>
    </w:p>
    <w:p w14:paraId="24E3F72A" w14:textId="7691EA59" w:rsidR="001B0290" w:rsidRPr="00746871" w:rsidRDefault="001B0290" w:rsidP="00C81B0F">
      <w:pPr>
        <w:ind w:firstLine="420"/>
      </w:pPr>
      <w:r w:rsidRPr="00746871">
        <w:rPr>
          <w:rFonts w:hint="eastAsia"/>
        </w:rPr>
        <w:t>温室气体排放核查报告模板</w:t>
      </w:r>
      <w:r w:rsidR="00453AFE" w:rsidRPr="00746871">
        <w:rPr>
          <w:rFonts w:hint="eastAsia"/>
        </w:rPr>
        <w:t>参见</w:t>
      </w:r>
      <w:r w:rsidRPr="00746871">
        <w:rPr>
          <w:rFonts w:hint="eastAsia"/>
        </w:rPr>
        <w:t>附录</w:t>
      </w:r>
      <w:r w:rsidR="0022124A" w:rsidRPr="00746871">
        <w:t>E</w:t>
      </w:r>
    </w:p>
    <w:p w14:paraId="588DC785" w14:textId="77777777" w:rsidR="001B0290" w:rsidRPr="00746871" w:rsidRDefault="00045E73" w:rsidP="00045E73">
      <w:pPr>
        <w:pStyle w:val="a9"/>
        <w:spacing w:beforeLines="50" w:before="156" w:afterLines="50" w:after="156"/>
        <w:ind w:firstLineChars="0" w:firstLine="0"/>
        <w:outlineLvl w:val="3"/>
        <w:rPr>
          <w:rFonts w:ascii="黑体" w:eastAsia="黑体" w:hAnsi="Times New Roman" w:cs="Times New Roman"/>
          <w:kern w:val="0"/>
          <w:szCs w:val="21"/>
        </w:rPr>
      </w:pPr>
      <w:r w:rsidRPr="00746871">
        <w:rPr>
          <w:rFonts w:ascii="黑体" w:eastAsia="黑体" w:hAnsi="Times New Roman" w:cs="Times New Roman" w:hint="eastAsia"/>
          <w:kern w:val="0"/>
          <w:szCs w:val="21"/>
        </w:rPr>
        <w:t>8</w:t>
      </w:r>
      <w:r w:rsidRPr="00746871">
        <w:rPr>
          <w:rFonts w:ascii="黑体" w:eastAsia="黑体" w:hAnsi="Times New Roman" w:cs="Times New Roman"/>
          <w:kern w:val="0"/>
          <w:szCs w:val="21"/>
        </w:rPr>
        <w:t xml:space="preserve">.1.2 </w:t>
      </w:r>
      <w:r w:rsidR="001B0290" w:rsidRPr="00746871">
        <w:rPr>
          <w:rFonts w:ascii="黑体" w:eastAsia="黑体" w:hAnsi="Times New Roman" w:cs="Times New Roman" w:hint="eastAsia"/>
          <w:kern w:val="0"/>
          <w:szCs w:val="21"/>
        </w:rPr>
        <w:t>报告的质量控制</w:t>
      </w:r>
    </w:p>
    <w:p w14:paraId="522C1B2C" w14:textId="77777777" w:rsidR="001B0290" w:rsidRPr="00746871" w:rsidRDefault="001B0290" w:rsidP="000132E9">
      <w:pPr>
        <w:pStyle w:val="a9"/>
        <w:rPr>
          <w:rFonts w:eastAsia="宋体" w:hAnsi="宋体"/>
        </w:rPr>
      </w:pPr>
      <w:r w:rsidRPr="00746871">
        <w:rPr>
          <w:rFonts w:eastAsia="宋体" w:hAnsi="宋体" w:hint="eastAsia"/>
        </w:rPr>
        <w:t>报告质量控制应包括的基本内容有：</w:t>
      </w:r>
    </w:p>
    <w:p w14:paraId="011B495F" w14:textId="4B38D7E1" w:rsidR="001B0290" w:rsidRPr="00746871" w:rsidRDefault="00AE3F01" w:rsidP="000524A2">
      <w:pPr>
        <w:pStyle w:val="a9"/>
        <w:numPr>
          <w:ilvl w:val="1"/>
          <w:numId w:val="5"/>
        </w:numPr>
        <w:ind w:firstLineChars="0"/>
        <w:rPr>
          <w:rFonts w:eastAsia="宋体" w:hAnsi="宋体"/>
        </w:rPr>
      </w:pPr>
      <w:r w:rsidRPr="00746871">
        <w:rPr>
          <w:rFonts w:eastAsia="宋体" w:hAnsi="宋体" w:hint="eastAsia"/>
        </w:rPr>
        <w:t>确认不符合关闭后核查机构应形成核查结论并完成核查报告的编写，对其进行技术评审并交付核查委托方；</w:t>
      </w:r>
    </w:p>
    <w:p w14:paraId="0EDA6196" w14:textId="77777777" w:rsidR="00AE3F01" w:rsidRPr="00746871" w:rsidRDefault="00AE3F01" w:rsidP="000524A2">
      <w:pPr>
        <w:pStyle w:val="a9"/>
        <w:numPr>
          <w:ilvl w:val="1"/>
          <w:numId w:val="5"/>
        </w:numPr>
        <w:ind w:firstLineChars="0"/>
        <w:rPr>
          <w:rFonts w:eastAsia="宋体" w:hAnsi="宋体"/>
        </w:rPr>
      </w:pPr>
      <w:r w:rsidRPr="00746871">
        <w:rPr>
          <w:rFonts w:eastAsia="宋体" w:hAnsi="宋体" w:hint="eastAsia"/>
        </w:rPr>
        <w:t>核查机构应在核查报告里列出核查过程中所有支持性文件，在有要求的时候能够提供这些文件；</w:t>
      </w:r>
    </w:p>
    <w:p w14:paraId="6ADE6114" w14:textId="77777777" w:rsidR="00AE3F01" w:rsidRPr="00746871" w:rsidRDefault="00AE3F01" w:rsidP="000524A2">
      <w:pPr>
        <w:pStyle w:val="a9"/>
        <w:numPr>
          <w:ilvl w:val="1"/>
          <w:numId w:val="5"/>
        </w:numPr>
        <w:ind w:firstLineChars="0"/>
        <w:rPr>
          <w:rFonts w:eastAsia="宋体" w:hAnsi="宋体"/>
        </w:rPr>
      </w:pPr>
      <w:r w:rsidRPr="00746871">
        <w:rPr>
          <w:rFonts w:eastAsia="宋体" w:hAnsi="宋体" w:hint="eastAsia"/>
        </w:rPr>
        <w:t>核查报告在提供给核查委托方之前，应经过核查机构内部独立于核查组的技术人员的技术评审。核查机构应确保技术评审人员具备相应的能力，具备温室气体排放企业预拌混凝土领域的专业知识、监测的专业知识以及从事企业核查活动的技能。</w:t>
      </w:r>
    </w:p>
    <w:p w14:paraId="3FE24436" w14:textId="77777777" w:rsidR="001B0290" w:rsidRPr="00746871" w:rsidRDefault="00045E73" w:rsidP="00FA3394">
      <w:pPr>
        <w:pStyle w:val="a9"/>
        <w:spacing w:beforeLines="50" w:before="156" w:afterLines="50" w:after="156"/>
        <w:ind w:firstLineChars="0" w:firstLine="0"/>
        <w:outlineLvl w:val="3"/>
        <w:rPr>
          <w:rFonts w:ascii="黑体" w:eastAsia="黑体" w:hAnsi="Times New Roman" w:cs="Times New Roman"/>
          <w:kern w:val="0"/>
          <w:szCs w:val="21"/>
        </w:rPr>
      </w:pPr>
      <w:r w:rsidRPr="00746871">
        <w:rPr>
          <w:rFonts w:ascii="黑体" w:eastAsia="黑体" w:hAnsi="Times New Roman" w:cs="Times New Roman" w:hint="eastAsia"/>
          <w:kern w:val="0"/>
          <w:szCs w:val="21"/>
        </w:rPr>
        <w:t>8</w:t>
      </w:r>
      <w:r w:rsidRPr="00746871">
        <w:rPr>
          <w:rFonts w:ascii="黑体" w:eastAsia="黑体" w:hAnsi="Times New Roman" w:cs="Times New Roman"/>
          <w:kern w:val="0"/>
          <w:szCs w:val="21"/>
        </w:rPr>
        <w:t xml:space="preserve">.1.3 </w:t>
      </w:r>
      <w:r w:rsidR="001B0290" w:rsidRPr="00746871">
        <w:rPr>
          <w:rFonts w:ascii="黑体" w:eastAsia="黑体" w:hAnsi="Times New Roman" w:cs="Times New Roman" w:hint="eastAsia"/>
          <w:kern w:val="0"/>
          <w:szCs w:val="21"/>
        </w:rPr>
        <w:t>报告的基本内容</w:t>
      </w:r>
    </w:p>
    <w:p w14:paraId="665FA5E7" w14:textId="77777777" w:rsidR="00213D74" w:rsidRPr="00746871" w:rsidRDefault="00213D74" w:rsidP="00213D74">
      <w:pPr>
        <w:pStyle w:val="a9"/>
        <w:ind w:firstLineChars="0" w:firstLine="0"/>
        <w:rPr>
          <w:rFonts w:eastAsia="宋体" w:hAnsi="宋体"/>
        </w:rPr>
      </w:pPr>
      <w:r w:rsidRPr="00746871">
        <w:rPr>
          <w:rFonts w:eastAsia="宋体" w:hAnsi="宋体" w:hint="eastAsia"/>
        </w:rPr>
        <w:t>报告应包括的基本内容有：</w:t>
      </w:r>
    </w:p>
    <w:p w14:paraId="7E6C8A65" w14:textId="77777777" w:rsidR="00213D74" w:rsidRPr="00746871" w:rsidRDefault="00213D74" w:rsidP="00F52F1B">
      <w:pPr>
        <w:pStyle w:val="a9"/>
        <w:numPr>
          <w:ilvl w:val="1"/>
          <w:numId w:val="25"/>
        </w:numPr>
        <w:ind w:firstLineChars="0"/>
        <w:rPr>
          <w:rFonts w:eastAsia="宋体" w:hAnsi="宋体"/>
        </w:rPr>
      </w:pPr>
      <w:r w:rsidRPr="00746871">
        <w:rPr>
          <w:rFonts w:eastAsia="宋体" w:hAnsi="宋体" w:hint="eastAsia"/>
        </w:rPr>
        <w:t>核查目的</w:t>
      </w:r>
      <w:r w:rsidR="00484D10" w:rsidRPr="00746871">
        <w:rPr>
          <w:rFonts w:eastAsia="宋体" w:hAnsi="宋体" w:hint="eastAsia"/>
        </w:rPr>
        <w:t>；</w:t>
      </w:r>
    </w:p>
    <w:p w14:paraId="25065215" w14:textId="77777777" w:rsidR="00213D74" w:rsidRPr="00746871" w:rsidRDefault="00213D74" w:rsidP="00F52F1B">
      <w:pPr>
        <w:pStyle w:val="a9"/>
        <w:numPr>
          <w:ilvl w:val="1"/>
          <w:numId w:val="25"/>
        </w:numPr>
        <w:ind w:firstLineChars="0"/>
        <w:rPr>
          <w:rFonts w:eastAsia="宋体" w:hAnsi="宋体"/>
        </w:rPr>
      </w:pPr>
      <w:r w:rsidRPr="00746871">
        <w:rPr>
          <w:rFonts w:eastAsia="宋体" w:hAnsi="宋体" w:hint="eastAsia"/>
        </w:rPr>
        <w:t>核查范围</w:t>
      </w:r>
      <w:r w:rsidR="00484D10" w:rsidRPr="00746871">
        <w:rPr>
          <w:rFonts w:eastAsia="宋体" w:hAnsi="宋体" w:hint="eastAsia"/>
        </w:rPr>
        <w:t>；</w:t>
      </w:r>
    </w:p>
    <w:p w14:paraId="7E87C02C" w14:textId="77777777" w:rsidR="00213D74" w:rsidRPr="00746871" w:rsidRDefault="00213D74" w:rsidP="00F52F1B">
      <w:pPr>
        <w:pStyle w:val="a9"/>
        <w:numPr>
          <w:ilvl w:val="1"/>
          <w:numId w:val="25"/>
        </w:numPr>
        <w:ind w:firstLineChars="0"/>
        <w:rPr>
          <w:rFonts w:eastAsia="宋体" w:hAnsi="宋体"/>
        </w:rPr>
      </w:pPr>
      <w:r w:rsidRPr="00746871">
        <w:rPr>
          <w:rFonts w:eastAsia="宋体" w:hAnsi="宋体" w:hint="eastAsia"/>
        </w:rPr>
        <w:t>核查准则</w:t>
      </w:r>
      <w:r w:rsidR="00484D10" w:rsidRPr="00746871">
        <w:rPr>
          <w:rFonts w:eastAsia="宋体" w:hAnsi="宋体" w:hint="eastAsia"/>
        </w:rPr>
        <w:t>；</w:t>
      </w:r>
    </w:p>
    <w:p w14:paraId="38E4624E" w14:textId="77777777" w:rsidR="00213D74" w:rsidRPr="00746871" w:rsidRDefault="00213D74" w:rsidP="00F52F1B">
      <w:pPr>
        <w:pStyle w:val="a9"/>
        <w:numPr>
          <w:ilvl w:val="1"/>
          <w:numId w:val="25"/>
        </w:numPr>
        <w:ind w:firstLineChars="0"/>
        <w:rPr>
          <w:rFonts w:eastAsia="宋体" w:hAnsi="宋体"/>
        </w:rPr>
      </w:pPr>
      <w:r w:rsidRPr="00746871">
        <w:rPr>
          <w:rFonts w:eastAsia="宋体" w:hAnsi="宋体" w:hint="eastAsia"/>
        </w:rPr>
        <w:t>核查过程和方法</w:t>
      </w:r>
      <w:r w:rsidR="00484D10" w:rsidRPr="00746871">
        <w:rPr>
          <w:rFonts w:eastAsia="宋体" w:hAnsi="宋体" w:hint="eastAsia"/>
        </w:rPr>
        <w:t>；</w:t>
      </w:r>
    </w:p>
    <w:p w14:paraId="2C9C09CD" w14:textId="77777777" w:rsidR="00213D74" w:rsidRPr="00746871" w:rsidRDefault="00213D74" w:rsidP="00F52F1B">
      <w:pPr>
        <w:pStyle w:val="a9"/>
        <w:numPr>
          <w:ilvl w:val="1"/>
          <w:numId w:val="25"/>
        </w:numPr>
        <w:ind w:firstLineChars="0"/>
        <w:rPr>
          <w:rFonts w:eastAsia="宋体" w:hAnsi="宋体"/>
        </w:rPr>
      </w:pPr>
      <w:r w:rsidRPr="00746871">
        <w:rPr>
          <w:rFonts w:eastAsia="宋体" w:hAnsi="宋体" w:hint="eastAsia"/>
        </w:rPr>
        <w:t>核查发现及相关纠正和澄清</w:t>
      </w:r>
      <w:r w:rsidR="00484D10" w:rsidRPr="00746871">
        <w:rPr>
          <w:rFonts w:eastAsia="宋体" w:hAnsi="宋体" w:hint="eastAsia"/>
        </w:rPr>
        <w:t>；</w:t>
      </w:r>
    </w:p>
    <w:p w14:paraId="7930D18A" w14:textId="77777777" w:rsidR="00213D74" w:rsidRPr="00746871" w:rsidRDefault="00213D74" w:rsidP="00F52F1B">
      <w:pPr>
        <w:pStyle w:val="a9"/>
        <w:numPr>
          <w:ilvl w:val="1"/>
          <w:numId w:val="25"/>
        </w:numPr>
        <w:ind w:firstLineChars="0"/>
        <w:rPr>
          <w:rFonts w:eastAsia="宋体" w:hAnsi="宋体"/>
        </w:rPr>
      </w:pPr>
      <w:r w:rsidRPr="00746871">
        <w:rPr>
          <w:rFonts w:eastAsia="宋体" w:hAnsi="宋体" w:hint="eastAsia"/>
        </w:rPr>
        <w:t>不确定性分析</w:t>
      </w:r>
      <w:r w:rsidR="00484D10" w:rsidRPr="00746871">
        <w:rPr>
          <w:rFonts w:eastAsia="宋体" w:hAnsi="宋体" w:hint="eastAsia"/>
        </w:rPr>
        <w:t>；</w:t>
      </w:r>
    </w:p>
    <w:p w14:paraId="60E393B1" w14:textId="77777777" w:rsidR="00213D74" w:rsidRPr="00746871" w:rsidRDefault="00213D74" w:rsidP="00F52F1B">
      <w:pPr>
        <w:pStyle w:val="a9"/>
        <w:numPr>
          <w:ilvl w:val="1"/>
          <w:numId w:val="25"/>
        </w:numPr>
        <w:ind w:firstLineChars="0"/>
        <w:rPr>
          <w:rFonts w:eastAsia="宋体" w:hAnsi="宋体"/>
        </w:rPr>
      </w:pPr>
      <w:r w:rsidRPr="00746871">
        <w:rPr>
          <w:rFonts w:eastAsia="宋体" w:hAnsi="宋体" w:hint="eastAsia"/>
        </w:rPr>
        <w:t>核查结论</w:t>
      </w:r>
      <w:r w:rsidR="00484D10" w:rsidRPr="00746871">
        <w:rPr>
          <w:rFonts w:eastAsia="宋体" w:hAnsi="宋体" w:hint="eastAsia"/>
        </w:rPr>
        <w:t>。</w:t>
      </w:r>
    </w:p>
    <w:p w14:paraId="15A5D12F" w14:textId="77777777" w:rsidR="007668F0" w:rsidRPr="00746871" w:rsidRDefault="007668F0" w:rsidP="00F52F1B">
      <w:pPr>
        <w:pStyle w:val="a2"/>
        <w:numPr>
          <w:ilvl w:val="0"/>
          <w:numId w:val="25"/>
        </w:numPr>
      </w:pPr>
      <w:bookmarkStart w:id="69" w:name="_Toc17464321"/>
      <w:r w:rsidRPr="00746871">
        <w:rPr>
          <w:rFonts w:hint="eastAsia"/>
        </w:rPr>
        <w:t>报告的复核及批准</w:t>
      </w:r>
      <w:bookmarkEnd w:id="69"/>
    </w:p>
    <w:p w14:paraId="1556B06C" w14:textId="77777777" w:rsidR="007668F0" w:rsidRPr="00746871" w:rsidRDefault="007668F0" w:rsidP="007668F0">
      <w:pPr>
        <w:pStyle w:val="a3"/>
        <w:numPr>
          <w:ilvl w:val="0"/>
          <w:numId w:val="0"/>
        </w:numPr>
        <w:spacing w:before="156" w:after="156"/>
      </w:pPr>
      <w:r w:rsidRPr="00746871">
        <w:rPr>
          <w:rFonts w:hint="eastAsia"/>
        </w:rPr>
        <w:t>8.2.1</w:t>
      </w:r>
      <w:r w:rsidR="00C7357A" w:rsidRPr="00746871">
        <w:rPr>
          <w:rFonts w:hint="eastAsia"/>
        </w:rPr>
        <w:t>报告的复核</w:t>
      </w:r>
    </w:p>
    <w:p w14:paraId="39BAE97D" w14:textId="77777777" w:rsidR="00C7357A" w:rsidRPr="00746871" w:rsidRDefault="00C7357A" w:rsidP="00A3655D">
      <w:pPr>
        <w:ind w:firstLine="420"/>
      </w:pPr>
      <w:r w:rsidRPr="00746871">
        <w:rPr>
          <w:rFonts w:hint="eastAsia"/>
        </w:rPr>
        <w:t>核查组完成核查报告初稿后，应经过核查机构内部独立于核查组成员之外的技术复核。</w:t>
      </w:r>
      <w:r w:rsidR="003E5FF2" w:rsidRPr="00746871">
        <w:rPr>
          <w:rFonts w:hint="eastAsia"/>
        </w:rPr>
        <w:t>技术复核时提供的信息可报考：报告主体提供的温室气体排放报告和核查报告的副本，以及技术复核核查工作质量和核查声明准确度所需要的信息。</w:t>
      </w:r>
    </w:p>
    <w:p w14:paraId="4E7C1A89" w14:textId="77777777" w:rsidR="007668F0" w:rsidRPr="00746871" w:rsidRDefault="007668F0" w:rsidP="007668F0">
      <w:pPr>
        <w:pStyle w:val="a3"/>
        <w:numPr>
          <w:ilvl w:val="0"/>
          <w:numId w:val="0"/>
        </w:numPr>
        <w:spacing w:before="156" w:after="156"/>
      </w:pPr>
      <w:r w:rsidRPr="00746871">
        <w:rPr>
          <w:rFonts w:hint="eastAsia"/>
        </w:rPr>
        <w:t>8.2.2</w:t>
      </w:r>
      <w:r w:rsidR="003E5FF2" w:rsidRPr="00746871">
        <w:rPr>
          <w:rFonts w:hint="eastAsia"/>
        </w:rPr>
        <w:t>报告的批准</w:t>
      </w:r>
    </w:p>
    <w:p w14:paraId="0D614F76" w14:textId="77777777" w:rsidR="007668F0" w:rsidRPr="00746871" w:rsidRDefault="003E5FF2" w:rsidP="007668F0">
      <w:pPr>
        <w:ind w:firstLine="420"/>
      </w:pPr>
      <w:r w:rsidRPr="00746871">
        <w:rPr>
          <w:rFonts w:hint="eastAsia"/>
        </w:rPr>
        <w:t>核查报告应提交负责核查事务的高级管理人员评审后予以批准，加盖核查机构公章，并由核查组、报告复核人员及报告</w:t>
      </w:r>
      <w:r w:rsidR="009D0C06" w:rsidRPr="00746871">
        <w:rPr>
          <w:rFonts w:hint="eastAsia"/>
        </w:rPr>
        <w:t>批准</w:t>
      </w:r>
      <w:r w:rsidRPr="00746871">
        <w:rPr>
          <w:rFonts w:hint="eastAsia"/>
        </w:rPr>
        <w:t>人员签字确认。经批准的核查报告应当及时给委托方。核查组成员和委托方都应遵守保密义务，并确保报告的保密性。</w:t>
      </w:r>
    </w:p>
    <w:p w14:paraId="4377AAF9" w14:textId="77777777" w:rsidR="00C87EB0" w:rsidRPr="00746871" w:rsidRDefault="00C87EB0" w:rsidP="001F1FB7">
      <w:pPr>
        <w:pStyle w:val="a3"/>
        <w:numPr>
          <w:ilvl w:val="0"/>
          <w:numId w:val="0"/>
        </w:numPr>
        <w:spacing w:before="156" w:after="156"/>
      </w:pPr>
      <w:r w:rsidRPr="00746871">
        <w:t>8.3</w:t>
      </w:r>
      <w:r w:rsidRPr="00746871">
        <w:rPr>
          <w:rFonts w:hint="eastAsia"/>
        </w:rPr>
        <w:t>记录与保存</w:t>
      </w:r>
    </w:p>
    <w:p w14:paraId="60E6F8F5" w14:textId="77777777" w:rsidR="00C87EB0" w:rsidRPr="00746871" w:rsidRDefault="00C87EB0" w:rsidP="00C87EB0">
      <w:pPr>
        <w:ind w:firstLine="420"/>
      </w:pPr>
      <w:r w:rsidRPr="00746871">
        <w:rPr>
          <w:rFonts w:hint="eastAsia"/>
        </w:rPr>
        <w:lastRenderedPageBreak/>
        <w:t>核查机构应做好对记录和文件的安全保护工作。记录和文件可以是电子的或纸质的，应至少保存</w:t>
      </w:r>
      <w:r w:rsidRPr="00746871">
        <w:rPr>
          <w:rFonts w:hint="eastAsia"/>
        </w:rPr>
        <w:t>1</w:t>
      </w:r>
      <w:r w:rsidRPr="00746871">
        <w:t>0</w:t>
      </w:r>
      <w:r w:rsidRPr="00746871">
        <w:rPr>
          <w:rFonts w:hint="eastAsia"/>
        </w:rPr>
        <w:t>年。核查机构应至少保存下列记录和文件：</w:t>
      </w:r>
    </w:p>
    <w:p w14:paraId="17E9BB6E" w14:textId="77777777" w:rsidR="00C87EB0" w:rsidRPr="00746871" w:rsidRDefault="00C87EB0" w:rsidP="00C67DC8">
      <w:pPr>
        <w:pStyle w:val="afa"/>
        <w:numPr>
          <w:ilvl w:val="0"/>
          <w:numId w:val="14"/>
        </w:numPr>
        <w:ind w:left="840" w:firstLineChars="0" w:hanging="420"/>
      </w:pPr>
      <w:r w:rsidRPr="00746871">
        <w:rPr>
          <w:rFonts w:hint="eastAsia"/>
        </w:rPr>
        <w:t>与委托方签订的核查协议；</w:t>
      </w:r>
    </w:p>
    <w:p w14:paraId="7CC81810" w14:textId="77777777" w:rsidR="00C87EB0" w:rsidRPr="00746871" w:rsidRDefault="00C87EB0" w:rsidP="00C67DC8">
      <w:pPr>
        <w:pStyle w:val="afa"/>
        <w:numPr>
          <w:ilvl w:val="0"/>
          <w:numId w:val="14"/>
        </w:numPr>
        <w:ind w:left="840" w:firstLineChars="0" w:hanging="420"/>
      </w:pPr>
      <w:r w:rsidRPr="00746871">
        <w:rPr>
          <w:rFonts w:hint="eastAsia"/>
        </w:rPr>
        <w:t>核查工作的</w:t>
      </w:r>
      <w:r w:rsidRPr="00746871">
        <w:rPr>
          <w:rFonts w:hint="eastAsia"/>
        </w:rPr>
        <w:t xml:space="preserve"> </w:t>
      </w:r>
      <w:r w:rsidRPr="00746871">
        <w:rPr>
          <w:rFonts w:hint="eastAsia"/>
        </w:rPr>
        <w:t>相关记录表单，如组织基本信息表、文件审核表、抽样计划表、核查计划表、核查发现表等；</w:t>
      </w:r>
    </w:p>
    <w:p w14:paraId="23502B5B" w14:textId="77777777" w:rsidR="00C87EB0" w:rsidRPr="00746871" w:rsidRDefault="00C87EB0" w:rsidP="00C67DC8">
      <w:pPr>
        <w:pStyle w:val="afa"/>
        <w:numPr>
          <w:ilvl w:val="0"/>
          <w:numId w:val="14"/>
        </w:numPr>
        <w:ind w:left="840" w:firstLineChars="0" w:hanging="420"/>
      </w:pPr>
      <w:r w:rsidRPr="00746871">
        <w:rPr>
          <w:rFonts w:hint="eastAsia"/>
        </w:rPr>
        <w:t>报告主体提交的温室气体排放报告（初始版和最终版）；</w:t>
      </w:r>
    </w:p>
    <w:p w14:paraId="559BFA2E" w14:textId="77777777" w:rsidR="00C87EB0" w:rsidRPr="00746871" w:rsidRDefault="00C87EB0" w:rsidP="00C67DC8">
      <w:pPr>
        <w:pStyle w:val="afa"/>
        <w:numPr>
          <w:ilvl w:val="0"/>
          <w:numId w:val="14"/>
        </w:numPr>
        <w:ind w:left="840" w:firstLineChars="0" w:hanging="420"/>
      </w:pPr>
      <w:r w:rsidRPr="00746871">
        <w:rPr>
          <w:rFonts w:hint="eastAsia"/>
        </w:rPr>
        <w:t>核查报告；</w:t>
      </w:r>
    </w:p>
    <w:p w14:paraId="5BD9926C" w14:textId="77777777" w:rsidR="00C87EB0" w:rsidRPr="00746871" w:rsidRDefault="00C87EB0" w:rsidP="00C67DC8">
      <w:pPr>
        <w:pStyle w:val="afa"/>
        <w:numPr>
          <w:ilvl w:val="0"/>
          <w:numId w:val="14"/>
        </w:numPr>
        <w:ind w:left="840" w:firstLineChars="0" w:hanging="420"/>
      </w:pPr>
      <w:r w:rsidRPr="00746871">
        <w:rPr>
          <w:rFonts w:hint="eastAsia"/>
        </w:rPr>
        <w:t>现场核查记录；</w:t>
      </w:r>
    </w:p>
    <w:p w14:paraId="44D31FA9" w14:textId="77777777" w:rsidR="00C87EB0" w:rsidRPr="00746871" w:rsidRDefault="00C87EB0" w:rsidP="00C67DC8">
      <w:pPr>
        <w:pStyle w:val="afa"/>
        <w:numPr>
          <w:ilvl w:val="0"/>
          <w:numId w:val="14"/>
        </w:numPr>
        <w:ind w:left="840" w:firstLineChars="0" w:hanging="420"/>
      </w:pPr>
      <w:r w:rsidRPr="00746871">
        <w:rPr>
          <w:rFonts w:hint="eastAsia"/>
        </w:rPr>
        <w:t>对核查的后续跟踪（如适用）；</w:t>
      </w:r>
    </w:p>
    <w:p w14:paraId="72727BD8" w14:textId="77777777" w:rsidR="00C87EB0" w:rsidRPr="00746871" w:rsidRDefault="00C87EB0" w:rsidP="00C67DC8">
      <w:pPr>
        <w:pStyle w:val="afa"/>
        <w:numPr>
          <w:ilvl w:val="0"/>
          <w:numId w:val="14"/>
        </w:numPr>
        <w:ind w:left="840" w:firstLineChars="0" w:hanging="420"/>
      </w:pPr>
      <w:r w:rsidRPr="00746871">
        <w:rPr>
          <w:rFonts w:hint="eastAsia"/>
        </w:rPr>
        <w:t>信息交流记录，如和委托方、专家及其他利益相关方的书面沟通副本及重要口头沟通记录，核查的约定条件和内部控制的弱点；</w:t>
      </w:r>
    </w:p>
    <w:p w14:paraId="2D060B6D" w14:textId="77777777" w:rsidR="00C87EB0" w:rsidRPr="00746871" w:rsidRDefault="00C87EB0" w:rsidP="00C67DC8">
      <w:pPr>
        <w:pStyle w:val="afa"/>
        <w:numPr>
          <w:ilvl w:val="0"/>
          <w:numId w:val="14"/>
        </w:numPr>
        <w:ind w:left="840" w:firstLineChars="0" w:hanging="420"/>
      </w:pPr>
      <w:r w:rsidRPr="00746871">
        <w:rPr>
          <w:rFonts w:hint="eastAsia"/>
        </w:rPr>
        <w:t>其他备份文件。</w:t>
      </w:r>
    </w:p>
    <w:p w14:paraId="4AC3BC12" w14:textId="245540EB" w:rsidR="00C87EB0" w:rsidRPr="00746871" w:rsidRDefault="00C87EB0" w:rsidP="003377C2">
      <w:pPr>
        <w:pStyle w:val="afa"/>
      </w:pPr>
      <w:r w:rsidRPr="00746871">
        <w:rPr>
          <w:rFonts w:hint="eastAsia"/>
        </w:rPr>
        <w:t>核查机构应对所有与客户利益相关的记录和文件进行保密。经得委托方的同意后方能披露相关信息。</w:t>
      </w:r>
    </w:p>
    <w:p w14:paraId="5212E3C4" w14:textId="77777777" w:rsidR="00B34D8E" w:rsidRPr="00746871" w:rsidRDefault="00B34D8E" w:rsidP="001F1FB7">
      <w:pPr>
        <w:pStyle w:val="afa"/>
        <w:spacing w:beforeLines="100" w:before="312" w:afterLines="100" w:after="312"/>
        <w:ind w:firstLineChars="0" w:firstLine="0"/>
        <w:outlineLvl w:val="1"/>
        <w:rPr>
          <w:rFonts w:ascii="黑体" w:eastAsia="黑体"/>
          <w:kern w:val="0"/>
          <w:szCs w:val="20"/>
        </w:rPr>
      </w:pPr>
      <w:bookmarkStart w:id="70" w:name="_Toc17464322"/>
      <w:r w:rsidRPr="00746871">
        <w:rPr>
          <w:rFonts w:ascii="黑体" w:eastAsia="黑体" w:hint="eastAsia"/>
          <w:kern w:val="0"/>
          <w:szCs w:val="20"/>
        </w:rPr>
        <w:t>9核查工作的质量保证</w:t>
      </w:r>
      <w:bookmarkEnd w:id="70"/>
    </w:p>
    <w:p w14:paraId="39B8BF41" w14:textId="77777777" w:rsidR="00B34D8E" w:rsidRPr="00746871" w:rsidRDefault="00B34D8E" w:rsidP="00EF0365">
      <w:pPr>
        <w:pStyle w:val="a3"/>
        <w:numPr>
          <w:ilvl w:val="0"/>
          <w:numId w:val="0"/>
        </w:numPr>
        <w:spacing w:before="156" w:after="156"/>
        <w:outlineLvl w:val="2"/>
      </w:pPr>
      <w:bookmarkStart w:id="71" w:name="_Toc17464323"/>
      <w:r w:rsidRPr="00746871">
        <w:rPr>
          <w:rFonts w:hint="eastAsia"/>
        </w:rPr>
        <w:t>9</w:t>
      </w:r>
      <w:r w:rsidRPr="00746871">
        <w:t xml:space="preserve">.1 </w:t>
      </w:r>
      <w:r w:rsidRPr="00746871">
        <w:rPr>
          <w:rFonts w:hint="eastAsia"/>
        </w:rPr>
        <w:t>建立质量管理制度</w:t>
      </w:r>
      <w:bookmarkEnd w:id="71"/>
    </w:p>
    <w:p w14:paraId="7F8DED69" w14:textId="77777777" w:rsidR="00B34D8E" w:rsidRPr="00746871" w:rsidRDefault="00B34D8E" w:rsidP="00C87EB0">
      <w:pPr>
        <w:pStyle w:val="afa"/>
        <w:ind w:left="360" w:firstLineChars="0" w:firstLine="0"/>
      </w:pPr>
      <w:r w:rsidRPr="00746871">
        <w:rPr>
          <w:rFonts w:hint="eastAsia"/>
        </w:rPr>
        <w:t>核查机构应根据本规范建立相应的质量管理制度，包括：</w:t>
      </w:r>
    </w:p>
    <w:p w14:paraId="02D9DC52" w14:textId="77777777" w:rsidR="00B34D8E" w:rsidRPr="00746871" w:rsidRDefault="00B34D8E" w:rsidP="000524A2">
      <w:pPr>
        <w:pStyle w:val="afa"/>
        <w:numPr>
          <w:ilvl w:val="0"/>
          <w:numId w:val="15"/>
        </w:numPr>
        <w:ind w:firstLineChars="0"/>
      </w:pPr>
      <w:r w:rsidRPr="00746871">
        <w:rPr>
          <w:rFonts w:hint="eastAsia"/>
        </w:rPr>
        <w:t>建立依据；</w:t>
      </w:r>
    </w:p>
    <w:p w14:paraId="7AE5DCF9" w14:textId="77777777" w:rsidR="00B34D8E" w:rsidRPr="00746871" w:rsidRDefault="00B34D8E" w:rsidP="000524A2">
      <w:pPr>
        <w:pStyle w:val="afa"/>
        <w:numPr>
          <w:ilvl w:val="0"/>
          <w:numId w:val="15"/>
        </w:numPr>
        <w:ind w:firstLineChars="0"/>
      </w:pPr>
      <w:r w:rsidRPr="00746871">
        <w:rPr>
          <w:rFonts w:hint="eastAsia"/>
        </w:rPr>
        <w:t>质量方针及目标；</w:t>
      </w:r>
    </w:p>
    <w:p w14:paraId="5F5B3C96" w14:textId="77777777" w:rsidR="00B34D8E" w:rsidRPr="00746871" w:rsidRDefault="00B34D8E" w:rsidP="000524A2">
      <w:pPr>
        <w:pStyle w:val="afa"/>
        <w:numPr>
          <w:ilvl w:val="0"/>
          <w:numId w:val="15"/>
        </w:numPr>
        <w:ind w:firstLineChars="0"/>
      </w:pPr>
      <w:r w:rsidRPr="00746871">
        <w:rPr>
          <w:rFonts w:hint="eastAsia"/>
        </w:rPr>
        <w:t>管理者代表；</w:t>
      </w:r>
    </w:p>
    <w:p w14:paraId="4A302846" w14:textId="77777777" w:rsidR="00B34D8E" w:rsidRPr="00746871" w:rsidRDefault="00B34D8E" w:rsidP="000524A2">
      <w:pPr>
        <w:pStyle w:val="afa"/>
        <w:numPr>
          <w:ilvl w:val="0"/>
          <w:numId w:val="15"/>
        </w:numPr>
        <w:ind w:firstLineChars="0"/>
      </w:pPr>
      <w:r w:rsidRPr="00746871">
        <w:rPr>
          <w:rFonts w:hint="eastAsia"/>
        </w:rPr>
        <w:t>保持和改进；</w:t>
      </w:r>
    </w:p>
    <w:p w14:paraId="3485E0D8" w14:textId="77777777" w:rsidR="00B34D8E" w:rsidRPr="00746871" w:rsidRDefault="00B34D8E" w:rsidP="000524A2">
      <w:pPr>
        <w:pStyle w:val="afa"/>
        <w:numPr>
          <w:ilvl w:val="0"/>
          <w:numId w:val="15"/>
        </w:numPr>
        <w:ind w:firstLineChars="0"/>
      </w:pPr>
      <w:r w:rsidRPr="00746871">
        <w:rPr>
          <w:rFonts w:hint="eastAsia"/>
        </w:rPr>
        <w:t>质量文件管理；</w:t>
      </w:r>
    </w:p>
    <w:p w14:paraId="0F0F8907" w14:textId="77777777" w:rsidR="00B34D8E" w:rsidRPr="00746871" w:rsidRDefault="00B34D8E" w:rsidP="000524A2">
      <w:pPr>
        <w:pStyle w:val="afa"/>
        <w:numPr>
          <w:ilvl w:val="0"/>
          <w:numId w:val="15"/>
        </w:numPr>
        <w:ind w:firstLineChars="0"/>
      </w:pPr>
      <w:r w:rsidRPr="00746871">
        <w:rPr>
          <w:rFonts w:hint="eastAsia"/>
        </w:rPr>
        <w:t>保密机制；</w:t>
      </w:r>
    </w:p>
    <w:p w14:paraId="62087AC0" w14:textId="77777777" w:rsidR="00B34D8E" w:rsidRPr="00746871" w:rsidRDefault="00B34D8E" w:rsidP="000524A2">
      <w:pPr>
        <w:pStyle w:val="afa"/>
        <w:numPr>
          <w:ilvl w:val="0"/>
          <w:numId w:val="15"/>
        </w:numPr>
        <w:ind w:firstLineChars="0"/>
      </w:pPr>
      <w:r w:rsidRPr="00746871">
        <w:rPr>
          <w:rFonts w:hint="eastAsia"/>
        </w:rPr>
        <w:t>公正性</w:t>
      </w:r>
    </w:p>
    <w:p w14:paraId="7A5A1434" w14:textId="77777777" w:rsidR="00B34D8E" w:rsidRPr="00746871" w:rsidRDefault="00B34D8E" w:rsidP="000524A2">
      <w:pPr>
        <w:pStyle w:val="afa"/>
        <w:numPr>
          <w:ilvl w:val="0"/>
          <w:numId w:val="15"/>
        </w:numPr>
        <w:ind w:firstLineChars="0"/>
      </w:pPr>
      <w:r w:rsidRPr="00746871">
        <w:rPr>
          <w:rFonts w:hint="eastAsia"/>
        </w:rPr>
        <w:t>申诉、投诉和争议的处理。</w:t>
      </w:r>
    </w:p>
    <w:p w14:paraId="6CC603C7" w14:textId="77777777" w:rsidR="00B34D8E" w:rsidRPr="00746871" w:rsidRDefault="00B34D8E" w:rsidP="00EB2D05">
      <w:pPr>
        <w:pStyle w:val="a3"/>
        <w:numPr>
          <w:ilvl w:val="0"/>
          <w:numId w:val="0"/>
        </w:numPr>
        <w:spacing w:before="156" w:after="156"/>
        <w:outlineLvl w:val="2"/>
      </w:pPr>
      <w:bookmarkStart w:id="72" w:name="_Toc17464324"/>
      <w:r w:rsidRPr="00746871">
        <w:rPr>
          <w:rFonts w:hint="eastAsia"/>
        </w:rPr>
        <w:t>9</w:t>
      </w:r>
      <w:r w:rsidRPr="00746871">
        <w:t xml:space="preserve">.2 </w:t>
      </w:r>
      <w:r w:rsidRPr="00746871">
        <w:rPr>
          <w:rFonts w:hint="eastAsia"/>
        </w:rPr>
        <w:t>建立多级复核制度</w:t>
      </w:r>
      <w:bookmarkEnd w:id="72"/>
    </w:p>
    <w:p w14:paraId="038BD0EC" w14:textId="77777777" w:rsidR="00B34D8E" w:rsidRPr="00746871" w:rsidRDefault="00B34D8E" w:rsidP="00B34D8E">
      <w:pPr>
        <w:ind w:firstLine="420"/>
      </w:pPr>
      <w:r w:rsidRPr="00746871">
        <w:rPr>
          <w:rFonts w:hint="eastAsia"/>
        </w:rPr>
        <w:t>应至少建立核查组长、技术复核</w:t>
      </w:r>
      <w:r w:rsidR="00800D3A" w:rsidRPr="00746871">
        <w:rPr>
          <w:rFonts w:hint="eastAsia"/>
        </w:rPr>
        <w:t>及审核批准三级复核制度。复核的内容包括：</w:t>
      </w:r>
    </w:p>
    <w:p w14:paraId="25DAA94E" w14:textId="77777777" w:rsidR="0060710B" w:rsidRPr="00746871" w:rsidRDefault="0060710B" w:rsidP="00F52F1B">
      <w:pPr>
        <w:pStyle w:val="afa"/>
        <w:numPr>
          <w:ilvl w:val="1"/>
          <w:numId w:val="25"/>
        </w:numPr>
        <w:ind w:firstLineChars="0"/>
      </w:pPr>
      <w:r w:rsidRPr="00746871">
        <w:rPr>
          <w:rFonts w:hint="eastAsia"/>
        </w:rPr>
        <w:t>核查流程及报告编制是否按照相关要求执行；</w:t>
      </w:r>
    </w:p>
    <w:p w14:paraId="509DD852" w14:textId="77777777" w:rsidR="0060710B" w:rsidRPr="00746871" w:rsidRDefault="0060710B" w:rsidP="00F52F1B">
      <w:pPr>
        <w:pStyle w:val="afa"/>
        <w:numPr>
          <w:ilvl w:val="1"/>
          <w:numId w:val="25"/>
        </w:numPr>
        <w:ind w:firstLineChars="0"/>
      </w:pPr>
      <w:r w:rsidRPr="00746871">
        <w:rPr>
          <w:rFonts w:hint="eastAsia"/>
        </w:rPr>
        <w:t>核查报告内容真实性；</w:t>
      </w:r>
    </w:p>
    <w:p w14:paraId="5280AA77" w14:textId="77777777" w:rsidR="0060710B" w:rsidRPr="00746871" w:rsidRDefault="00C67A90" w:rsidP="00F52F1B">
      <w:pPr>
        <w:pStyle w:val="afa"/>
        <w:numPr>
          <w:ilvl w:val="1"/>
          <w:numId w:val="25"/>
        </w:numPr>
        <w:ind w:firstLineChars="0"/>
      </w:pPr>
      <w:r w:rsidRPr="00746871">
        <w:rPr>
          <w:rFonts w:hint="eastAsia"/>
        </w:rPr>
        <w:t>碳排放计算方法、过程及结果；</w:t>
      </w:r>
    </w:p>
    <w:p w14:paraId="2D18678E" w14:textId="77777777" w:rsidR="00C67A90" w:rsidRPr="00746871" w:rsidRDefault="00C67A90" w:rsidP="00F52F1B">
      <w:pPr>
        <w:pStyle w:val="afa"/>
        <w:numPr>
          <w:ilvl w:val="1"/>
          <w:numId w:val="25"/>
        </w:numPr>
        <w:ind w:firstLineChars="0"/>
      </w:pPr>
      <w:r w:rsidRPr="00746871">
        <w:rPr>
          <w:rFonts w:hint="eastAsia"/>
        </w:rPr>
        <w:t>不符合项是否合理；</w:t>
      </w:r>
    </w:p>
    <w:p w14:paraId="1C4981A3" w14:textId="77777777" w:rsidR="00C67A90" w:rsidRPr="00746871" w:rsidRDefault="00C67A90" w:rsidP="00F52F1B">
      <w:pPr>
        <w:pStyle w:val="afa"/>
        <w:numPr>
          <w:ilvl w:val="1"/>
          <w:numId w:val="25"/>
        </w:numPr>
        <w:ind w:firstLineChars="0"/>
      </w:pPr>
      <w:r w:rsidRPr="00746871">
        <w:rPr>
          <w:rFonts w:hint="eastAsia"/>
        </w:rPr>
        <w:t>核算结论是否合理。</w:t>
      </w:r>
    </w:p>
    <w:p w14:paraId="4AFF15E4" w14:textId="77777777" w:rsidR="00800D3A" w:rsidRPr="00746871" w:rsidRDefault="004335D4" w:rsidP="00EB2D05">
      <w:pPr>
        <w:pStyle w:val="a3"/>
        <w:numPr>
          <w:ilvl w:val="0"/>
          <w:numId w:val="0"/>
        </w:numPr>
        <w:spacing w:before="156" w:after="156"/>
        <w:outlineLvl w:val="2"/>
      </w:pPr>
      <w:bookmarkStart w:id="73" w:name="_Toc17464325"/>
      <w:r w:rsidRPr="00746871">
        <w:rPr>
          <w:rFonts w:hint="eastAsia"/>
        </w:rPr>
        <w:t>9</w:t>
      </w:r>
      <w:r w:rsidRPr="00746871">
        <w:t xml:space="preserve">.3 </w:t>
      </w:r>
      <w:r w:rsidRPr="00746871">
        <w:rPr>
          <w:rFonts w:hint="eastAsia"/>
        </w:rPr>
        <w:t>建立核查人员定期培训制度</w:t>
      </w:r>
      <w:bookmarkEnd w:id="73"/>
    </w:p>
    <w:p w14:paraId="36F7B734" w14:textId="77777777" w:rsidR="004335D4" w:rsidRPr="00746871" w:rsidRDefault="004335D4" w:rsidP="00B34D8E">
      <w:pPr>
        <w:ind w:firstLine="420"/>
      </w:pPr>
      <w:r w:rsidRPr="00746871">
        <w:rPr>
          <w:rFonts w:hint="eastAsia"/>
        </w:rPr>
        <w:t>核查机构应至少按年制定培训计划，对核查人员进行定期培训，跟踪监测培训效果。培训需求应有核查质量负责人、技术负责人、核查人员提出。</w:t>
      </w:r>
    </w:p>
    <w:p w14:paraId="1186A98E" w14:textId="77777777" w:rsidR="0099187D" w:rsidRPr="00746871" w:rsidRDefault="0099187D" w:rsidP="00B34D8E">
      <w:pPr>
        <w:ind w:firstLine="420"/>
      </w:pPr>
      <w:r w:rsidRPr="00746871">
        <w:br w:type="page"/>
      </w:r>
    </w:p>
    <w:p w14:paraId="76235F62" w14:textId="77777777" w:rsidR="004335D4" w:rsidRPr="00746871" w:rsidRDefault="004335D4" w:rsidP="00B34D8E">
      <w:pPr>
        <w:ind w:firstLine="420"/>
      </w:pPr>
    </w:p>
    <w:p w14:paraId="6C0D4300" w14:textId="2472BC43" w:rsidR="00223629" w:rsidRPr="00746871" w:rsidRDefault="00223629" w:rsidP="00223629">
      <w:pPr>
        <w:pStyle w:val="a1"/>
        <w:numPr>
          <w:ilvl w:val="0"/>
          <w:numId w:val="0"/>
        </w:numPr>
        <w:jc w:val="center"/>
        <w:outlineLvl w:val="0"/>
      </w:pPr>
      <w:bookmarkStart w:id="74" w:name="_Toc12355146"/>
      <w:bookmarkStart w:id="75" w:name="_Toc17464330"/>
      <w:bookmarkStart w:id="76" w:name="_Toc17464326"/>
      <w:bookmarkStart w:id="77" w:name="_Toc17464328"/>
      <w:r w:rsidRPr="00746871">
        <w:rPr>
          <w:rFonts w:hint="eastAsia"/>
        </w:rPr>
        <w:t>附录</w:t>
      </w:r>
      <w:bookmarkEnd w:id="74"/>
      <w:bookmarkEnd w:id="75"/>
      <w:r w:rsidRPr="00746871">
        <w:t>A</w:t>
      </w:r>
    </w:p>
    <w:p w14:paraId="53D045AB" w14:textId="77777777" w:rsidR="00223629" w:rsidRPr="00746871" w:rsidRDefault="00223629" w:rsidP="00223629">
      <w:pPr>
        <w:pStyle w:val="a1"/>
        <w:numPr>
          <w:ilvl w:val="0"/>
          <w:numId w:val="0"/>
        </w:numPr>
        <w:jc w:val="center"/>
        <w:outlineLvl w:val="9"/>
      </w:pPr>
      <w:bookmarkStart w:id="78" w:name="_Toc3926759"/>
      <w:bookmarkStart w:id="79" w:name="_Toc12355147"/>
      <w:r w:rsidRPr="00746871">
        <w:rPr>
          <w:rFonts w:hint="eastAsia"/>
        </w:rPr>
        <w:t>（资料性附录）</w:t>
      </w:r>
      <w:bookmarkEnd w:id="78"/>
      <w:bookmarkEnd w:id="79"/>
    </w:p>
    <w:p w14:paraId="780D95E6" w14:textId="77777777" w:rsidR="00223629" w:rsidRPr="00746871" w:rsidRDefault="00223629" w:rsidP="00223629">
      <w:pPr>
        <w:pStyle w:val="a1"/>
        <w:numPr>
          <w:ilvl w:val="0"/>
          <w:numId w:val="0"/>
        </w:numPr>
        <w:spacing w:beforeLines="0" w:before="0" w:afterLines="0" w:after="0"/>
        <w:jc w:val="center"/>
        <w:outlineLvl w:val="9"/>
      </w:pPr>
      <w:bookmarkStart w:id="80" w:name="_Toc3926760"/>
      <w:bookmarkStart w:id="81" w:name="_Toc12355148"/>
      <w:bookmarkStart w:id="82" w:name="_Toc17464331"/>
      <w:r w:rsidRPr="00746871">
        <w:rPr>
          <w:rFonts w:hint="eastAsia"/>
        </w:rPr>
        <w:t>文件评审指南</w:t>
      </w:r>
      <w:bookmarkEnd w:id="80"/>
      <w:bookmarkEnd w:id="81"/>
      <w:bookmarkEnd w:id="82"/>
    </w:p>
    <w:p w14:paraId="3C3C7E28" w14:textId="3C6A3BA9" w:rsidR="00223629" w:rsidRPr="00746871" w:rsidRDefault="00B25B80" w:rsidP="00A3772D">
      <w:pPr>
        <w:pStyle w:val="aff4"/>
        <w:tabs>
          <w:tab w:val="num" w:pos="360"/>
        </w:tabs>
        <w:spacing w:before="312" w:after="312"/>
        <w:outlineLvl w:val="9"/>
      </w:pPr>
      <w:bookmarkStart w:id="83" w:name="_Toc12355149"/>
      <w:bookmarkStart w:id="84" w:name="_Toc17464332"/>
      <w:r w:rsidRPr="00746871">
        <w:t>A</w:t>
      </w:r>
      <w:r w:rsidR="00223629" w:rsidRPr="00746871">
        <w:rPr>
          <w:rFonts w:hint="eastAsia"/>
        </w:rPr>
        <w:t>.1 评审方式</w:t>
      </w:r>
      <w:bookmarkEnd w:id="83"/>
      <w:bookmarkEnd w:id="84"/>
    </w:p>
    <w:p w14:paraId="77C0AA0E" w14:textId="77777777" w:rsidR="00223629" w:rsidRPr="00746871" w:rsidRDefault="00223629" w:rsidP="00223629">
      <w:pPr>
        <w:spacing w:beforeLines="50" w:before="156"/>
        <w:ind w:firstLine="420"/>
      </w:pPr>
      <w:r w:rsidRPr="00746871">
        <w:rPr>
          <w:rFonts w:hint="eastAsia"/>
        </w:rPr>
        <w:t>文件评审包括受理评审和证据评审。</w:t>
      </w:r>
    </w:p>
    <w:p w14:paraId="3548E002" w14:textId="00F62560" w:rsidR="00223629" w:rsidRPr="00746871" w:rsidRDefault="00B25B80" w:rsidP="00A3772D">
      <w:pPr>
        <w:pStyle w:val="aff4"/>
        <w:tabs>
          <w:tab w:val="num" w:pos="360"/>
        </w:tabs>
        <w:spacing w:before="312" w:after="312"/>
        <w:outlineLvl w:val="9"/>
      </w:pPr>
      <w:bookmarkStart w:id="85" w:name="_Toc12355150"/>
      <w:bookmarkStart w:id="86" w:name="_Toc17464333"/>
      <w:r w:rsidRPr="00746871">
        <w:t>A</w:t>
      </w:r>
      <w:r w:rsidR="00223629" w:rsidRPr="00746871">
        <w:rPr>
          <w:rFonts w:hint="eastAsia"/>
        </w:rPr>
        <w:t>.2 受理评审</w:t>
      </w:r>
      <w:bookmarkEnd w:id="85"/>
      <w:bookmarkEnd w:id="86"/>
    </w:p>
    <w:p w14:paraId="47C68F8F" w14:textId="77777777" w:rsidR="00223629" w:rsidRPr="00746871" w:rsidRDefault="00223629" w:rsidP="00223629">
      <w:pPr>
        <w:spacing w:beforeLines="50" w:before="156"/>
        <w:ind w:firstLine="420"/>
      </w:pPr>
      <w:r w:rsidRPr="00746871">
        <w:rPr>
          <w:rFonts w:hint="eastAsia"/>
        </w:rPr>
        <w:t>受理评审是接受委托时的初步评审，应评审受委托方的相关文件，以确定核查目的、核查思路和核查重点，以及核算方法与核查准则的符合性。通过评审报告主体的排放报告、监测计划、监测方法等相关支持性材料，初步确定报告主体的排放情况，并据此确定核查模式，制定核查方案。</w:t>
      </w:r>
    </w:p>
    <w:p w14:paraId="277E2AD5" w14:textId="0D98A715" w:rsidR="00223629" w:rsidRPr="00746871" w:rsidRDefault="00B25B80" w:rsidP="00A3772D">
      <w:pPr>
        <w:pStyle w:val="aff4"/>
        <w:tabs>
          <w:tab w:val="num" w:pos="360"/>
        </w:tabs>
        <w:spacing w:before="312" w:after="312"/>
        <w:outlineLvl w:val="9"/>
      </w:pPr>
      <w:bookmarkStart w:id="87" w:name="_Toc12355151"/>
      <w:bookmarkStart w:id="88" w:name="_Toc17464334"/>
      <w:r w:rsidRPr="00746871">
        <w:t>A</w:t>
      </w:r>
      <w:r w:rsidR="00223629" w:rsidRPr="00746871">
        <w:rPr>
          <w:rFonts w:hint="eastAsia"/>
        </w:rPr>
        <w:t>.3 证据评审</w:t>
      </w:r>
      <w:bookmarkEnd w:id="87"/>
      <w:bookmarkEnd w:id="88"/>
    </w:p>
    <w:p w14:paraId="2E3DE49A" w14:textId="4151A6F3" w:rsidR="00223629" w:rsidRPr="00746871" w:rsidRDefault="00B25B80" w:rsidP="00A3772D">
      <w:pPr>
        <w:tabs>
          <w:tab w:val="left" w:pos="645"/>
          <w:tab w:val="left" w:pos="8928"/>
        </w:tabs>
        <w:spacing w:line="360" w:lineRule="auto"/>
        <w:ind w:firstLineChars="0" w:firstLine="0"/>
        <w:jc w:val="left"/>
        <w:rPr>
          <w:rFonts w:ascii="黑体" w:eastAsia="黑体"/>
          <w:kern w:val="21"/>
          <w:szCs w:val="20"/>
        </w:rPr>
      </w:pPr>
      <w:r w:rsidRPr="00746871">
        <w:rPr>
          <w:rFonts w:ascii="黑体" w:eastAsia="黑体"/>
          <w:kern w:val="21"/>
          <w:szCs w:val="20"/>
        </w:rPr>
        <w:t>A</w:t>
      </w:r>
      <w:r w:rsidR="00223629" w:rsidRPr="00746871">
        <w:rPr>
          <w:rFonts w:ascii="黑体" w:eastAsia="黑体"/>
          <w:kern w:val="21"/>
          <w:szCs w:val="20"/>
        </w:rPr>
        <w:t>.3.1</w:t>
      </w:r>
      <w:r w:rsidR="00223629" w:rsidRPr="00746871">
        <w:rPr>
          <w:rFonts w:ascii="黑体" w:eastAsia="黑体" w:hint="eastAsia"/>
          <w:kern w:val="21"/>
          <w:szCs w:val="20"/>
        </w:rPr>
        <w:t xml:space="preserve"> 总则</w:t>
      </w:r>
    </w:p>
    <w:p w14:paraId="1777BCC4" w14:textId="77777777" w:rsidR="00223629" w:rsidRPr="00746871" w:rsidRDefault="00223629" w:rsidP="00223629">
      <w:pPr>
        <w:spacing w:beforeLines="50" w:before="156"/>
        <w:ind w:firstLineChars="150" w:firstLine="315"/>
      </w:pPr>
      <w:r w:rsidRPr="00746871">
        <w:rPr>
          <w:rFonts w:hint="eastAsia"/>
        </w:rPr>
        <w:t>在核查中，应通过适当的抽样收集并验证与核查目标、范围和准则有关的信息，包括与职能、活动和过程间接口有关的信息。只有能够验证的信息方可作为审核证据。导致审核发现的审核证据应予以记录。在收集证据的过程中，审核组如果发现了新的、变化的情况或风险，应予以关注。</w:t>
      </w:r>
    </w:p>
    <w:p w14:paraId="6791765B" w14:textId="77777777" w:rsidR="00223629" w:rsidRPr="00746871" w:rsidRDefault="00223629" w:rsidP="00223629">
      <w:pPr>
        <w:spacing w:beforeLines="50" w:before="156"/>
        <w:ind w:firstLine="420"/>
      </w:pPr>
      <w:r w:rsidRPr="00746871">
        <w:rPr>
          <w:rFonts w:hint="eastAsia"/>
        </w:rPr>
        <w:t>证据评审是对核查实施过程中报告主体提供的数据和信息的评审，是对数据和信息的适宜性、完整性和有效性的评审，对监测计划和监测方法的评审，以及对数据管理和质量保证的评审。</w:t>
      </w:r>
    </w:p>
    <w:p w14:paraId="52766204" w14:textId="77777777" w:rsidR="00223629" w:rsidRPr="00746871" w:rsidRDefault="00223629" w:rsidP="00223629">
      <w:pPr>
        <w:pStyle w:val="Default"/>
        <w:spacing w:beforeLines="50" w:before="156"/>
        <w:ind w:firstLine="420"/>
        <w:rPr>
          <w:sz w:val="21"/>
          <w:szCs w:val="21"/>
        </w:rPr>
      </w:pPr>
      <w:r w:rsidRPr="00746871">
        <w:rPr>
          <w:rFonts w:hint="eastAsia"/>
          <w:sz w:val="21"/>
          <w:szCs w:val="21"/>
        </w:rPr>
        <w:t>核查员应评审被核查方提交的相关证据，以确定所提供证据对于核查活动的适宜性、充分性和有效性。如果在核查计划所规定的时间框架内提供的文件不适宜、不充分，核查组长应告知被核查方联系人员。应根据核查目标和范围提出证据补充要求并暂停核查活动，证据补充完整后继续。</w:t>
      </w:r>
    </w:p>
    <w:p w14:paraId="229B0EF1" w14:textId="35AFE678" w:rsidR="00223629" w:rsidRPr="00746871" w:rsidRDefault="00B25B80" w:rsidP="00A3772D">
      <w:pPr>
        <w:tabs>
          <w:tab w:val="left" w:pos="645"/>
          <w:tab w:val="left" w:pos="8928"/>
        </w:tabs>
        <w:spacing w:line="360" w:lineRule="auto"/>
        <w:ind w:firstLineChars="0" w:firstLine="0"/>
        <w:jc w:val="left"/>
        <w:rPr>
          <w:rFonts w:ascii="黑体" w:eastAsia="黑体"/>
          <w:kern w:val="21"/>
          <w:szCs w:val="20"/>
        </w:rPr>
      </w:pPr>
      <w:r w:rsidRPr="00746871">
        <w:rPr>
          <w:rFonts w:ascii="黑体" w:eastAsia="黑体"/>
          <w:kern w:val="21"/>
          <w:szCs w:val="20"/>
        </w:rPr>
        <w:t>A</w:t>
      </w:r>
      <w:r w:rsidR="00223629" w:rsidRPr="00746871">
        <w:rPr>
          <w:rFonts w:ascii="黑体" w:eastAsia="黑体" w:hint="eastAsia"/>
          <w:kern w:val="21"/>
          <w:szCs w:val="20"/>
        </w:rPr>
        <w:t>.3.2 适宜性</w:t>
      </w:r>
    </w:p>
    <w:p w14:paraId="31990513" w14:textId="77777777" w:rsidR="00223629" w:rsidRPr="00746871" w:rsidRDefault="00223629" w:rsidP="00223629">
      <w:pPr>
        <w:pStyle w:val="Default"/>
        <w:spacing w:beforeLines="50" w:before="156"/>
        <w:ind w:firstLine="420"/>
        <w:rPr>
          <w:sz w:val="21"/>
          <w:szCs w:val="21"/>
        </w:rPr>
      </w:pPr>
      <w:r w:rsidRPr="00746871">
        <w:rPr>
          <w:rFonts w:hint="eastAsia"/>
          <w:sz w:val="21"/>
          <w:szCs w:val="21"/>
        </w:rPr>
        <w:t>证据的适宜性是对证据质量的衡量，即证据在支持核查目的所依据的结论方面具有相关性。相关性是指用作核查的证据与相应核查内容之间的内在联系。评审时，主要考虑证据对核查内容的支撑性。对于与核查内容无关的证据为不适宜证据，应予以剔除，并将信息反馈被核查方。</w:t>
      </w:r>
    </w:p>
    <w:p w14:paraId="5664755B" w14:textId="26207346" w:rsidR="00223629" w:rsidRPr="00746871" w:rsidRDefault="00B25B80" w:rsidP="00A3772D">
      <w:pPr>
        <w:tabs>
          <w:tab w:val="left" w:pos="645"/>
          <w:tab w:val="left" w:pos="8928"/>
        </w:tabs>
        <w:spacing w:line="360" w:lineRule="auto"/>
        <w:ind w:firstLineChars="0" w:firstLine="0"/>
        <w:jc w:val="left"/>
        <w:rPr>
          <w:rFonts w:ascii="黑体" w:eastAsia="黑体"/>
          <w:kern w:val="21"/>
          <w:szCs w:val="20"/>
        </w:rPr>
      </w:pPr>
      <w:r w:rsidRPr="00746871">
        <w:rPr>
          <w:rFonts w:ascii="黑体" w:eastAsia="黑体"/>
          <w:kern w:val="21"/>
          <w:szCs w:val="20"/>
        </w:rPr>
        <w:t>A</w:t>
      </w:r>
      <w:r w:rsidR="00223629" w:rsidRPr="00746871">
        <w:rPr>
          <w:rFonts w:ascii="黑体" w:eastAsia="黑体" w:hint="eastAsia"/>
          <w:kern w:val="21"/>
          <w:szCs w:val="20"/>
        </w:rPr>
        <w:t>.3.3 充分性</w:t>
      </w:r>
    </w:p>
    <w:p w14:paraId="66F6FA86" w14:textId="77777777" w:rsidR="00223629" w:rsidRPr="00746871" w:rsidRDefault="00223629" w:rsidP="00223629">
      <w:pPr>
        <w:pStyle w:val="Default"/>
        <w:spacing w:beforeLines="50" w:before="156"/>
        <w:ind w:firstLine="420"/>
        <w:rPr>
          <w:sz w:val="21"/>
          <w:szCs w:val="21"/>
        </w:rPr>
      </w:pPr>
      <w:r w:rsidRPr="00746871">
        <w:rPr>
          <w:rFonts w:hint="eastAsia"/>
          <w:sz w:val="21"/>
          <w:szCs w:val="21"/>
        </w:rPr>
        <w:t>证据的充分性是对审计证据数量的衡量，主要围绕核查内容进行分析。</w:t>
      </w:r>
    </w:p>
    <w:p w14:paraId="2BF5D80C" w14:textId="77777777" w:rsidR="00223629" w:rsidRPr="00746871" w:rsidRDefault="00223629" w:rsidP="00223629">
      <w:pPr>
        <w:pStyle w:val="Default"/>
        <w:spacing w:beforeLines="50" w:before="156"/>
        <w:ind w:firstLine="420"/>
        <w:rPr>
          <w:sz w:val="21"/>
          <w:szCs w:val="21"/>
        </w:rPr>
      </w:pPr>
      <w:r w:rsidRPr="00746871">
        <w:rPr>
          <w:rFonts w:hint="eastAsia"/>
          <w:sz w:val="21"/>
          <w:szCs w:val="21"/>
        </w:rPr>
        <w:t>核查员需要的核查证据量受核查内容的控制，尤其对于存在重大错报风险的内容需要的证据越多，并且需要不同类型的证据以便交叉验证；同时，对于质量不高的证据需要提供间接证据进行补充证明。</w:t>
      </w:r>
    </w:p>
    <w:p w14:paraId="116E1762" w14:textId="1A13D7CB" w:rsidR="00223629" w:rsidRPr="00746871" w:rsidRDefault="00B25B80" w:rsidP="00A3772D">
      <w:pPr>
        <w:tabs>
          <w:tab w:val="left" w:pos="645"/>
          <w:tab w:val="left" w:pos="8928"/>
        </w:tabs>
        <w:spacing w:line="360" w:lineRule="auto"/>
        <w:ind w:firstLineChars="0" w:firstLine="0"/>
        <w:jc w:val="left"/>
        <w:rPr>
          <w:rFonts w:ascii="黑体" w:eastAsia="黑体"/>
          <w:kern w:val="21"/>
          <w:szCs w:val="20"/>
        </w:rPr>
      </w:pPr>
      <w:r w:rsidRPr="00746871">
        <w:rPr>
          <w:rFonts w:ascii="黑体" w:eastAsia="黑体"/>
          <w:kern w:val="21"/>
          <w:szCs w:val="20"/>
        </w:rPr>
        <w:lastRenderedPageBreak/>
        <w:t>A</w:t>
      </w:r>
      <w:r w:rsidR="00223629" w:rsidRPr="00746871">
        <w:rPr>
          <w:rFonts w:ascii="黑体" w:eastAsia="黑体" w:hint="eastAsia"/>
          <w:kern w:val="21"/>
          <w:szCs w:val="20"/>
        </w:rPr>
        <w:t>.3.4 有效性</w:t>
      </w:r>
    </w:p>
    <w:p w14:paraId="4783C7F8" w14:textId="77777777" w:rsidR="00223629" w:rsidRPr="00746871" w:rsidRDefault="00223629" w:rsidP="00223629">
      <w:pPr>
        <w:pStyle w:val="Default"/>
        <w:spacing w:beforeLines="50" w:before="156"/>
        <w:ind w:firstLine="420"/>
        <w:rPr>
          <w:sz w:val="21"/>
          <w:szCs w:val="21"/>
        </w:rPr>
      </w:pPr>
      <w:r w:rsidRPr="00746871">
        <w:rPr>
          <w:rFonts w:hint="eastAsia"/>
          <w:sz w:val="21"/>
          <w:szCs w:val="21"/>
        </w:rPr>
        <w:t>证据的有效性受其来源和性质的影响，并取决于获取证据的具体环境。可以从制度建设、制度运行和数据质量控制三个方面进行分析，具体考虑分别如下：</w:t>
      </w:r>
    </w:p>
    <w:p w14:paraId="259B45DE" w14:textId="77777777" w:rsidR="00223629" w:rsidRPr="00746871" w:rsidRDefault="00223629" w:rsidP="00223629">
      <w:pPr>
        <w:pStyle w:val="aff3"/>
        <w:numPr>
          <w:ilvl w:val="0"/>
          <w:numId w:val="26"/>
        </w:numPr>
        <w:tabs>
          <w:tab w:val="left" w:pos="645"/>
          <w:tab w:val="left" w:pos="8928"/>
        </w:tabs>
        <w:ind w:firstLineChars="0"/>
        <w:jc w:val="left"/>
        <w:rPr>
          <w:rFonts w:ascii="宋体" w:hAnsi="宋体"/>
          <w:bCs/>
          <w:color w:val="000000"/>
          <w:szCs w:val="21"/>
        </w:rPr>
      </w:pPr>
      <w:r w:rsidRPr="00746871">
        <w:rPr>
          <w:rFonts w:ascii="宋体" w:hAnsi="宋体" w:hint="eastAsia"/>
          <w:bCs/>
          <w:color w:val="000000"/>
          <w:szCs w:val="21"/>
        </w:rPr>
        <w:t>能源管理制度建设情况。能源管理制度是实现能源管理目标的有力措施和手段。因此，是否建立科学、完整、实用的能源管理制度是保证证据有效的前提。</w:t>
      </w:r>
    </w:p>
    <w:p w14:paraId="50D42825" w14:textId="77777777" w:rsidR="00223629" w:rsidRPr="00746871" w:rsidRDefault="00223629" w:rsidP="00223629">
      <w:pPr>
        <w:pStyle w:val="aff3"/>
        <w:numPr>
          <w:ilvl w:val="0"/>
          <w:numId w:val="26"/>
        </w:numPr>
        <w:tabs>
          <w:tab w:val="left" w:pos="645"/>
          <w:tab w:val="left" w:pos="8928"/>
        </w:tabs>
        <w:ind w:firstLineChars="0"/>
        <w:jc w:val="left"/>
        <w:rPr>
          <w:rFonts w:ascii="宋体" w:hAnsi="宋体"/>
          <w:bCs/>
          <w:color w:val="000000"/>
          <w:szCs w:val="21"/>
        </w:rPr>
      </w:pPr>
      <w:r w:rsidRPr="00746871">
        <w:rPr>
          <w:rFonts w:ascii="宋体" w:hAnsi="宋体" w:hint="eastAsia"/>
          <w:bCs/>
          <w:color w:val="000000"/>
          <w:szCs w:val="21"/>
        </w:rPr>
        <w:t>制度运行情况。结合能源管理制度对报告主体生产活动各个环节中的数据记录、存档，以及计量设备的维护管理、记录存档的执行情况，分析制度运行的有效性，有效运行的制度是确保数据有效的关键。</w:t>
      </w:r>
    </w:p>
    <w:p w14:paraId="7614ECC1" w14:textId="77777777" w:rsidR="00223629" w:rsidRPr="00746871" w:rsidRDefault="00223629" w:rsidP="00223629">
      <w:pPr>
        <w:pStyle w:val="aff3"/>
        <w:numPr>
          <w:ilvl w:val="0"/>
          <w:numId w:val="26"/>
        </w:numPr>
        <w:tabs>
          <w:tab w:val="left" w:pos="645"/>
          <w:tab w:val="left" w:pos="8928"/>
        </w:tabs>
        <w:ind w:firstLineChars="0"/>
        <w:jc w:val="left"/>
        <w:rPr>
          <w:rFonts w:ascii="宋体" w:hAnsi="宋体"/>
          <w:bCs/>
          <w:color w:val="000000"/>
          <w:szCs w:val="21"/>
        </w:rPr>
      </w:pPr>
      <w:r w:rsidRPr="00746871">
        <w:rPr>
          <w:rFonts w:ascii="宋体" w:hAnsi="宋体" w:hint="eastAsia"/>
          <w:bCs/>
          <w:color w:val="000000"/>
          <w:szCs w:val="21"/>
        </w:rPr>
        <w:t>数据质量控制情况。通过核查各个环节活动水平数据记录的完整性，分析各环节活动水平数据间的关联性，确定数据控制的质量，确认活动水平数据的有效性。</w:t>
      </w:r>
    </w:p>
    <w:p w14:paraId="1BCB95BC" w14:textId="305CDEF9" w:rsidR="00223629" w:rsidRPr="00746871" w:rsidRDefault="00B25B80" w:rsidP="00A3772D">
      <w:pPr>
        <w:pStyle w:val="aff4"/>
        <w:tabs>
          <w:tab w:val="num" w:pos="360"/>
        </w:tabs>
        <w:spacing w:before="312" w:after="312"/>
        <w:outlineLvl w:val="9"/>
      </w:pPr>
      <w:bookmarkStart w:id="89" w:name="_Toc12355152"/>
      <w:bookmarkStart w:id="90" w:name="_Toc17464335"/>
      <w:r w:rsidRPr="00746871">
        <w:t>A</w:t>
      </w:r>
      <w:r w:rsidR="00223629" w:rsidRPr="00746871">
        <w:rPr>
          <w:rFonts w:hint="eastAsia"/>
        </w:rPr>
        <w:t>.</w:t>
      </w:r>
      <w:r w:rsidR="00223629" w:rsidRPr="00746871">
        <w:t>4</w:t>
      </w:r>
      <w:r w:rsidR="00223629" w:rsidRPr="00746871">
        <w:rPr>
          <w:rFonts w:hint="eastAsia"/>
        </w:rPr>
        <w:t xml:space="preserve"> 核查辅助工具</w:t>
      </w:r>
      <w:bookmarkEnd w:id="89"/>
      <w:bookmarkEnd w:id="90"/>
    </w:p>
    <w:p w14:paraId="6C3C1D3E" w14:textId="77777777" w:rsidR="00223629" w:rsidRPr="00746871" w:rsidRDefault="00223629" w:rsidP="00223629">
      <w:pPr>
        <w:spacing w:beforeLines="50" w:before="156"/>
        <w:ind w:firstLine="420"/>
      </w:pPr>
      <w:r w:rsidRPr="00746871">
        <w:rPr>
          <w:rFonts w:hint="eastAsia"/>
        </w:rPr>
        <w:t>对预拌混凝土生产企业进行文件评审时，除了基本的证据评审以外，还利用计算工具等辅助工具，计算生产单位产品的合理能耗范围。初步判断企业填报数据的准确性，从而确认核查重点。</w:t>
      </w:r>
    </w:p>
    <w:p w14:paraId="593ACC75" w14:textId="77777777" w:rsidR="00223629" w:rsidRPr="00746871" w:rsidRDefault="00223629" w:rsidP="00223629">
      <w:pPr>
        <w:spacing w:beforeLines="50" w:before="156"/>
        <w:ind w:firstLine="420"/>
      </w:pPr>
      <w:r w:rsidRPr="00746871">
        <w:rPr>
          <w:rFonts w:hint="eastAsia"/>
        </w:rPr>
        <w:t>通过预拌混凝土生产企业的企业下网电量、锅炉燃料使用量等活动数据初步评估企业的数据合理性，以此初步了解企业的数据质量，为核查策划提供辅助的参考依据。</w:t>
      </w:r>
      <w:r w:rsidRPr="00746871">
        <w:br w:type="page"/>
      </w:r>
    </w:p>
    <w:p w14:paraId="136BE37B" w14:textId="1E66CE85" w:rsidR="002641AB" w:rsidRPr="00746871" w:rsidRDefault="002641AB" w:rsidP="002641AB">
      <w:pPr>
        <w:pStyle w:val="1"/>
        <w:spacing w:before="0" w:after="0" w:line="240" w:lineRule="auto"/>
        <w:ind w:firstLine="422"/>
        <w:jc w:val="center"/>
        <w:rPr>
          <w:rFonts w:ascii="黑体" w:eastAsia="黑体" w:hAnsi="黑体"/>
          <w:b/>
          <w:color w:val="000000"/>
          <w:szCs w:val="21"/>
        </w:rPr>
      </w:pPr>
      <w:bookmarkStart w:id="91" w:name="_Toc465329467"/>
      <w:bookmarkStart w:id="92" w:name="_Toc12355163"/>
      <w:bookmarkStart w:id="93" w:name="_Toc17464336"/>
      <w:bookmarkEnd w:id="76"/>
      <w:bookmarkEnd w:id="77"/>
      <w:r w:rsidRPr="00746871">
        <w:rPr>
          <w:rFonts w:ascii="黑体" w:eastAsia="黑体" w:hAnsi="黑体" w:hint="eastAsia"/>
          <w:b/>
          <w:color w:val="000000"/>
          <w:szCs w:val="21"/>
        </w:rPr>
        <w:lastRenderedPageBreak/>
        <w:t>附录</w:t>
      </w:r>
      <w:bookmarkEnd w:id="91"/>
      <w:bookmarkEnd w:id="92"/>
      <w:bookmarkEnd w:id="93"/>
      <w:r w:rsidR="00223629" w:rsidRPr="00746871">
        <w:rPr>
          <w:rFonts w:ascii="黑体" w:eastAsia="黑体" w:hAnsi="黑体" w:hint="eastAsia"/>
          <w:b/>
          <w:color w:val="000000"/>
          <w:szCs w:val="21"/>
        </w:rPr>
        <w:t>B</w:t>
      </w:r>
    </w:p>
    <w:p w14:paraId="25021C51" w14:textId="3D53CE75" w:rsidR="002E6D2F" w:rsidRPr="00746871" w:rsidRDefault="002E6D2F" w:rsidP="002E6D2F">
      <w:pPr>
        <w:ind w:firstLine="420"/>
        <w:jc w:val="center"/>
      </w:pPr>
      <w:r w:rsidRPr="00746871">
        <w:rPr>
          <w:rFonts w:hint="eastAsia"/>
        </w:rPr>
        <w:t>（资料性附录）</w:t>
      </w:r>
    </w:p>
    <w:p w14:paraId="53242084" w14:textId="77777777" w:rsidR="00CB6F89" w:rsidRPr="00746871" w:rsidRDefault="00CB6F89" w:rsidP="002E6D2F">
      <w:pPr>
        <w:ind w:firstLine="420"/>
        <w:jc w:val="center"/>
      </w:pPr>
    </w:p>
    <w:p w14:paraId="4D913616" w14:textId="056A4B6B" w:rsidR="002E6D2F" w:rsidRPr="00746871" w:rsidRDefault="002E6D2F" w:rsidP="00E75633">
      <w:pPr>
        <w:ind w:firstLine="420"/>
        <w:jc w:val="center"/>
      </w:pPr>
      <w:bookmarkStart w:id="94" w:name="_Toc17464337"/>
      <w:r w:rsidRPr="00746871">
        <w:rPr>
          <w:rFonts w:hint="eastAsia"/>
        </w:rPr>
        <w:t>常见检查证据</w:t>
      </w:r>
      <w:bookmarkEnd w:id="94"/>
    </w:p>
    <w:p w14:paraId="0CCA930B" w14:textId="3F085C5C" w:rsidR="002641AB" w:rsidRPr="00746871" w:rsidRDefault="002641AB" w:rsidP="002641AB">
      <w:pPr>
        <w:spacing w:afterLines="50" w:after="156"/>
        <w:ind w:firstLine="420"/>
        <w:jc w:val="left"/>
        <w:rPr>
          <w:color w:val="000000"/>
        </w:rPr>
      </w:pPr>
      <w:r w:rsidRPr="00746871">
        <w:rPr>
          <w:rFonts w:hint="eastAsia"/>
          <w:color w:val="000000"/>
        </w:rPr>
        <w:t>在核查过程中，涉及</w:t>
      </w:r>
      <w:r w:rsidR="0039046C" w:rsidRPr="00746871">
        <w:rPr>
          <w:rFonts w:hint="eastAsia"/>
          <w:color w:val="000000"/>
        </w:rPr>
        <w:t>预拌混凝土</w:t>
      </w:r>
      <w:r w:rsidRPr="00746871">
        <w:rPr>
          <w:rFonts w:hint="eastAsia"/>
          <w:color w:val="000000"/>
        </w:rPr>
        <w:t>生产企业的基本信息、组织边界、运行边界、排放源识别等相关证据文件，可能的资料文件包括但不限于表</w:t>
      </w:r>
      <w:r w:rsidR="00C60562" w:rsidRPr="00746871">
        <w:rPr>
          <w:color w:val="000000"/>
        </w:rPr>
        <w:t>B</w:t>
      </w:r>
      <w:r w:rsidRPr="00746871">
        <w:rPr>
          <w:rFonts w:hint="eastAsia"/>
          <w:color w:val="000000"/>
        </w:rPr>
        <w:t>.1</w:t>
      </w:r>
      <w:r w:rsidRPr="00746871">
        <w:rPr>
          <w:rFonts w:hint="eastAsia"/>
          <w:color w:val="000000"/>
        </w:rPr>
        <w:t>的内容。</w:t>
      </w:r>
    </w:p>
    <w:p w14:paraId="5277B7B4" w14:textId="676982ED" w:rsidR="002641AB" w:rsidRPr="00746871" w:rsidRDefault="002641AB" w:rsidP="002641AB">
      <w:pPr>
        <w:pStyle w:val="aff5"/>
        <w:tabs>
          <w:tab w:val="num" w:pos="180"/>
        </w:tabs>
        <w:spacing w:before="156" w:after="156"/>
        <w:ind w:firstLine="420"/>
      </w:pPr>
      <w:r w:rsidRPr="00746871">
        <w:rPr>
          <w:rFonts w:hint="eastAsia"/>
        </w:rPr>
        <w:t>表</w:t>
      </w:r>
      <w:r w:rsidR="00C60562" w:rsidRPr="00746871">
        <w:t>B</w:t>
      </w:r>
      <w:r w:rsidRPr="00746871">
        <w:rPr>
          <w:rFonts w:hint="eastAsia"/>
        </w:rPr>
        <w:t>.1 核查证据参考表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7005"/>
      </w:tblGrid>
      <w:tr w:rsidR="002641AB" w:rsidRPr="00746871" w14:paraId="4EBCDE3D" w14:textId="77777777">
        <w:tc>
          <w:tcPr>
            <w:tcW w:w="1517" w:type="dxa"/>
            <w:tcBorders>
              <w:right w:val="single" w:sz="4" w:space="0" w:color="auto"/>
            </w:tcBorders>
          </w:tcPr>
          <w:p w14:paraId="55CF62C2" w14:textId="77777777" w:rsidR="002641AB" w:rsidRPr="00746871" w:rsidRDefault="002641AB" w:rsidP="00923459">
            <w:pPr>
              <w:ind w:firstLine="361"/>
              <w:jc w:val="center"/>
              <w:rPr>
                <w:rFonts w:ascii="宋体" w:hAnsi="宋体"/>
                <w:b/>
                <w:sz w:val="18"/>
                <w:szCs w:val="21"/>
              </w:rPr>
            </w:pPr>
            <w:r w:rsidRPr="00746871">
              <w:rPr>
                <w:rFonts w:ascii="宋体" w:hAnsi="宋体" w:hint="eastAsia"/>
                <w:b/>
                <w:sz w:val="18"/>
                <w:szCs w:val="21"/>
              </w:rPr>
              <w:t>核查内容</w:t>
            </w:r>
          </w:p>
        </w:tc>
        <w:tc>
          <w:tcPr>
            <w:tcW w:w="7005" w:type="dxa"/>
          </w:tcPr>
          <w:p w14:paraId="100C9BAC" w14:textId="77777777" w:rsidR="002641AB" w:rsidRPr="00746871" w:rsidRDefault="002641AB" w:rsidP="00923459">
            <w:pPr>
              <w:ind w:firstLine="361"/>
              <w:jc w:val="center"/>
              <w:rPr>
                <w:rFonts w:ascii="宋体" w:hAnsi="宋体"/>
                <w:b/>
                <w:sz w:val="18"/>
                <w:szCs w:val="21"/>
              </w:rPr>
            </w:pPr>
            <w:r w:rsidRPr="00746871">
              <w:rPr>
                <w:rFonts w:ascii="宋体" w:hAnsi="宋体" w:hint="eastAsia"/>
                <w:b/>
                <w:sz w:val="18"/>
                <w:szCs w:val="21"/>
              </w:rPr>
              <w:t>核查资料</w:t>
            </w:r>
          </w:p>
        </w:tc>
      </w:tr>
      <w:tr w:rsidR="002641AB" w:rsidRPr="00746871" w14:paraId="304851FE" w14:textId="77777777">
        <w:trPr>
          <w:trHeight w:val="675"/>
        </w:trPr>
        <w:tc>
          <w:tcPr>
            <w:tcW w:w="1517" w:type="dxa"/>
            <w:tcBorders>
              <w:right w:val="single" w:sz="4" w:space="0" w:color="auto"/>
            </w:tcBorders>
            <w:vAlign w:val="center"/>
          </w:tcPr>
          <w:p w14:paraId="3EA6B250" w14:textId="77777777" w:rsidR="002641AB" w:rsidRPr="00746871" w:rsidRDefault="002641AB" w:rsidP="002E6D2F">
            <w:pPr>
              <w:ind w:firstLineChars="0" w:firstLine="0"/>
              <w:jc w:val="center"/>
              <w:rPr>
                <w:rFonts w:ascii="宋体" w:hAnsi="宋体" w:cs="宋体"/>
                <w:sz w:val="18"/>
                <w:szCs w:val="21"/>
              </w:rPr>
            </w:pPr>
            <w:r w:rsidRPr="00746871">
              <w:rPr>
                <w:rFonts w:ascii="宋体" w:hAnsi="宋体" w:cs="宋体" w:hint="eastAsia"/>
                <w:sz w:val="18"/>
                <w:szCs w:val="21"/>
              </w:rPr>
              <w:t>基本信息</w:t>
            </w:r>
          </w:p>
        </w:tc>
        <w:tc>
          <w:tcPr>
            <w:tcW w:w="7005" w:type="dxa"/>
          </w:tcPr>
          <w:p w14:paraId="1C136CF9" w14:textId="01D44246" w:rsidR="002641AB" w:rsidRPr="00746871" w:rsidRDefault="002641AB" w:rsidP="007D7667">
            <w:pPr>
              <w:widowControl/>
              <w:ind w:firstLineChars="0" w:firstLine="0"/>
              <w:rPr>
                <w:rFonts w:ascii="宋体" w:hAnsi="宋体"/>
                <w:sz w:val="18"/>
                <w:szCs w:val="21"/>
              </w:rPr>
            </w:pPr>
            <w:r w:rsidRPr="00746871">
              <w:rPr>
                <w:rFonts w:ascii="宋体" w:hAnsi="宋体" w:hint="eastAsia"/>
                <w:sz w:val="18"/>
                <w:szCs w:val="21"/>
              </w:rPr>
              <w:t>主要包括</w:t>
            </w:r>
            <w:r w:rsidR="00004ACC" w:rsidRPr="00746871">
              <w:rPr>
                <w:rFonts w:ascii="宋体" w:hAnsi="宋体" w:hint="eastAsia"/>
                <w:sz w:val="18"/>
                <w:szCs w:val="21"/>
              </w:rPr>
              <w:t>预拌混凝土</w:t>
            </w:r>
            <w:r w:rsidRPr="00746871">
              <w:rPr>
                <w:rFonts w:ascii="宋体" w:hAnsi="宋体" w:hint="eastAsia"/>
                <w:sz w:val="18"/>
                <w:szCs w:val="21"/>
              </w:rPr>
              <w:t>生产企业的营业执照、组织机构代码证等能反映报告主体的证明材料，报告主体生产经营情况介绍，以及</w:t>
            </w:r>
            <w:r w:rsidR="00224E03" w:rsidRPr="00746871">
              <w:rPr>
                <w:rFonts w:ascii="宋体" w:hAnsi="宋体" w:hint="eastAsia"/>
                <w:sz w:val="18"/>
                <w:szCs w:val="21"/>
              </w:rPr>
              <w:t>预拌混凝土</w:t>
            </w:r>
            <w:r w:rsidRPr="00746871">
              <w:rPr>
                <w:rFonts w:ascii="宋体" w:hAnsi="宋体" w:hint="eastAsia"/>
                <w:sz w:val="18"/>
                <w:szCs w:val="21"/>
              </w:rPr>
              <w:t>生产企业管理制度建设及运行，</w:t>
            </w:r>
            <w:r w:rsidR="00C27EBA" w:rsidRPr="00746871">
              <w:rPr>
                <w:rFonts w:ascii="宋体" w:hAnsi="宋体" w:hint="eastAsia"/>
                <w:sz w:val="18"/>
                <w:szCs w:val="21"/>
              </w:rPr>
              <w:t>预拌混凝土</w:t>
            </w:r>
            <w:r w:rsidRPr="00746871">
              <w:rPr>
                <w:rFonts w:ascii="宋体" w:hAnsi="宋体" w:hint="eastAsia"/>
                <w:sz w:val="18"/>
                <w:szCs w:val="21"/>
              </w:rPr>
              <w:t>生产企业生产及能源计量及统计配备等相关资料。</w:t>
            </w:r>
          </w:p>
        </w:tc>
      </w:tr>
      <w:tr w:rsidR="002641AB" w:rsidRPr="00746871" w14:paraId="6AE9A5B7" w14:textId="77777777" w:rsidTr="00F85C54">
        <w:trPr>
          <w:trHeight w:val="1260"/>
        </w:trPr>
        <w:tc>
          <w:tcPr>
            <w:tcW w:w="1517" w:type="dxa"/>
            <w:tcBorders>
              <w:right w:val="single" w:sz="4" w:space="0" w:color="auto"/>
            </w:tcBorders>
            <w:vAlign w:val="center"/>
          </w:tcPr>
          <w:p w14:paraId="617E4654" w14:textId="77777777" w:rsidR="002641AB" w:rsidRPr="00746871" w:rsidRDefault="002641AB" w:rsidP="002E6D2F">
            <w:pPr>
              <w:ind w:firstLineChars="0" w:firstLine="0"/>
              <w:jc w:val="center"/>
              <w:rPr>
                <w:rFonts w:ascii="宋体" w:hAnsi="宋体"/>
                <w:sz w:val="18"/>
                <w:szCs w:val="21"/>
              </w:rPr>
            </w:pPr>
            <w:r w:rsidRPr="00746871">
              <w:rPr>
                <w:rFonts w:ascii="宋体" w:hAnsi="宋体" w:cs="宋体" w:hint="eastAsia"/>
                <w:sz w:val="18"/>
                <w:szCs w:val="21"/>
              </w:rPr>
              <w:t>组织边界和</w:t>
            </w:r>
            <w:r w:rsidRPr="00746871">
              <w:rPr>
                <w:rFonts w:ascii="宋体" w:hAnsi="宋体"/>
                <w:sz w:val="18"/>
                <w:szCs w:val="21"/>
              </w:rPr>
              <w:t>/</w:t>
            </w:r>
            <w:r w:rsidRPr="00746871">
              <w:rPr>
                <w:rFonts w:ascii="宋体" w:hAnsi="宋体" w:cs="宋体" w:hint="eastAsia"/>
                <w:sz w:val="18"/>
                <w:szCs w:val="21"/>
              </w:rPr>
              <w:t>或运行边界</w:t>
            </w:r>
          </w:p>
        </w:tc>
        <w:tc>
          <w:tcPr>
            <w:tcW w:w="7005" w:type="dxa"/>
          </w:tcPr>
          <w:p w14:paraId="445CE22D" w14:textId="77777777" w:rsidR="002641AB" w:rsidRPr="00746871" w:rsidRDefault="002641AB" w:rsidP="002E6D2F">
            <w:pPr>
              <w:widowControl/>
              <w:ind w:firstLineChars="0" w:firstLine="0"/>
              <w:jc w:val="left"/>
              <w:rPr>
                <w:rFonts w:ascii="宋体" w:hAnsi="宋体"/>
                <w:sz w:val="18"/>
                <w:szCs w:val="21"/>
              </w:rPr>
            </w:pPr>
            <w:r w:rsidRPr="00746871">
              <w:rPr>
                <w:rFonts w:ascii="宋体" w:hAnsi="宋体" w:hint="eastAsia"/>
                <w:sz w:val="18"/>
                <w:szCs w:val="21"/>
              </w:rPr>
              <w:t>a.营业执照、组织机构代码、组织机构图、厂区平面图；</w:t>
            </w:r>
          </w:p>
          <w:p w14:paraId="3A5DB423" w14:textId="58B3EC21" w:rsidR="002641AB" w:rsidRPr="00746871" w:rsidRDefault="002641AB" w:rsidP="002E6D2F">
            <w:pPr>
              <w:widowControl/>
              <w:ind w:firstLineChars="0" w:firstLine="0"/>
              <w:jc w:val="left"/>
              <w:rPr>
                <w:rFonts w:ascii="宋体" w:hAnsi="宋体"/>
                <w:sz w:val="18"/>
                <w:szCs w:val="21"/>
              </w:rPr>
            </w:pPr>
            <w:r w:rsidRPr="00746871">
              <w:rPr>
                <w:rFonts w:ascii="宋体" w:hAnsi="宋体" w:hint="eastAsia"/>
                <w:sz w:val="18"/>
                <w:szCs w:val="21"/>
              </w:rPr>
              <w:t>b.</w:t>
            </w:r>
            <w:r w:rsidR="0039046C" w:rsidRPr="00746871">
              <w:rPr>
                <w:rFonts w:ascii="宋体" w:hAnsi="宋体" w:hint="eastAsia"/>
                <w:sz w:val="18"/>
                <w:szCs w:val="21"/>
              </w:rPr>
              <w:t>预拌混凝土</w:t>
            </w:r>
            <w:r w:rsidRPr="00746871">
              <w:rPr>
                <w:rFonts w:ascii="宋体" w:hAnsi="宋体" w:hint="eastAsia"/>
                <w:sz w:val="18"/>
                <w:szCs w:val="21"/>
              </w:rPr>
              <w:t>生产企业生产信息简介、工艺流程图、温室气体清单；</w:t>
            </w:r>
          </w:p>
          <w:p w14:paraId="37D469BF" w14:textId="77777777" w:rsidR="002641AB" w:rsidRPr="00746871" w:rsidRDefault="002641AB" w:rsidP="002E6D2F">
            <w:pPr>
              <w:widowControl/>
              <w:ind w:firstLineChars="0" w:firstLine="0"/>
              <w:jc w:val="left"/>
              <w:rPr>
                <w:rFonts w:ascii="宋体" w:hAnsi="宋体"/>
                <w:sz w:val="18"/>
                <w:szCs w:val="21"/>
              </w:rPr>
            </w:pPr>
            <w:r w:rsidRPr="00746871">
              <w:rPr>
                <w:rFonts w:ascii="宋体" w:hAnsi="宋体" w:hint="eastAsia"/>
                <w:sz w:val="18"/>
                <w:szCs w:val="21"/>
              </w:rPr>
              <w:t>c.能源统计表及能源利用状况报告（适用时）、能源审计报告（适用时）、上一履约年度排放报告。</w:t>
            </w:r>
          </w:p>
        </w:tc>
      </w:tr>
      <w:tr w:rsidR="002641AB" w:rsidRPr="00746871" w14:paraId="7AB15A17" w14:textId="77777777">
        <w:trPr>
          <w:trHeight w:val="1424"/>
        </w:trPr>
        <w:tc>
          <w:tcPr>
            <w:tcW w:w="1517" w:type="dxa"/>
            <w:tcBorders>
              <w:top w:val="single" w:sz="4" w:space="0" w:color="auto"/>
              <w:right w:val="single" w:sz="4" w:space="0" w:color="auto"/>
            </w:tcBorders>
            <w:vAlign w:val="center"/>
          </w:tcPr>
          <w:p w14:paraId="20875BD0" w14:textId="77777777" w:rsidR="002641AB" w:rsidRPr="00746871" w:rsidRDefault="002641AB" w:rsidP="002E6D2F">
            <w:pPr>
              <w:ind w:firstLineChars="0" w:firstLine="0"/>
              <w:jc w:val="center"/>
              <w:rPr>
                <w:rFonts w:ascii="宋体" w:hAnsi="宋体"/>
                <w:sz w:val="18"/>
                <w:szCs w:val="21"/>
              </w:rPr>
            </w:pPr>
            <w:r w:rsidRPr="00746871">
              <w:rPr>
                <w:rFonts w:ascii="宋体" w:hAnsi="宋体" w:hint="eastAsia"/>
                <w:sz w:val="18"/>
                <w:szCs w:val="21"/>
              </w:rPr>
              <w:t>温室气体排放源识别</w:t>
            </w:r>
          </w:p>
        </w:tc>
        <w:tc>
          <w:tcPr>
            <w:tcW w:w="7005" w:type="dxa"/>
            <w:tcBorders>
              <w:top w:val="single" w:sz="4" w:space="0" w:color="auto"/>
            </w:tcBorders>
          </w:tcPr>
          <w:p w14:paraId="03D9F7A2" w14:textId="77777777" w:rsidR="002641AB" w:rsidRPr="00746871" w:rsidRDefault="002641AB" w:rsidP="002E6D2F">
            <w:pPr>
              <w:ind w:firstLineChars="0" w:firstLine="0"/>
              <w:rPr>
                <w:rFonts w:ascii="宋体" w:hAnsi="宋体"/>
                <w:sz w:val="18"/>
                <w:szCs w:val="21"/>
              </w:rPr>
            </w:pPr>
            <w:r w:rsidRPr="00746871">
              <w:rPr>
                <w:rFonts w:ascii="宋体" w:hAnsi="宋体" w:hint="eastAsia"/>
                <w:sz w:val="18"/>
                <w:szCs w:val="21"/>
              </w:rPr>
              <w:t>a.工艺流程图、固定资产台账，进料单等；</w:t>
            </w:r>
          </w:p>
          <w:p w14:paraId="5BFDB6C0" w14:textId="7DD9733C" w:rsidR="002641AB" w:rsidRPr="00746871" w:rsidRDefault="002641AB" w:rsidP="002E6D2F">
            <w:pPr>
              <w:ind w:firstLineChars="0" w:firstLine="0"/>
              <w:rPr>
                <w:rFonts w:ascii="宋体" w:hAnsi="宋体"/>
                <w:sz w:val="18"/>
                <w:szCs w:val="21"/>
              </w:rPr>
            </w:pPr>
            <w:r w:rsidRPr="00746871">
              <w:rPr>
                <w:rFonts w:ascii="宋体" w:hAnsi="宋体" w:hint="eastAsia"/>
                <w:sz w:val="18"/>
                <w:szCs w:val="21"/>
              </w:rPr>
              <w:t>b.查阅生产记录，识别设备消耗物料类别；</w:t>
            </w:r>
          </w:p>
          <w:p w14:paraId="2F58C6BB" w14:textId="77777777" w:rsidR="002641AB" w:rsidRPr="00746871" w:rsidRDefault="002641AB" w:rsidP="002E6D2F">
            <w:pPr>
              <w:ind w:firstLineChars="0" w:firstLine="0"/>
              <w:rPr>
                <w:rFonts w:ascii="宋体" w:hAnsi="宋体"/>
                <w:sz w:val="18"/>
                <w:szCs w:val="21"/>
              </w:rPr>
            </w:pPr>
            <w:r w:rsidRPr="00746871">
              <w:rPr>
                <w:rFonts w:ascii="宋体" w:hAnsi="宋体" w:hint="eastAsia"/>
                <w:sz w:val="18"/>
                <w:szCs w:val="21"/>
              </w:rPr>
              <w:t>c.查阅固定资产台账、电力、热力（蒸汽）结算单等，确认购入的电力、热力产生的排放环节；</w:t>
            </w:r>
          </w:p>
          <w:p w14:paraId="7BCCCBBF" w14:textId="1A26AF93" w:rsidR="002641AB" w:rsidRPr="00746871" w:rsidRDefault="002641AB" w:rsidP="002E6D2F">
            <w:pPr>
              <w:ind w:firstLineChars="0" w:firstLine="0"/>
              <w:rPr>
                <w:rFonts w:ascii="宋体" w:hAnsi="宋体"/>
                <w:sz w:val="18"/>
                <w:szCs w:val="21"/>
              </w:rPr>
            </w:pPr>
            <w:r w:rsidRPr="00746871">
              <w:rPr>
                <w:rFonts w:ascii="宋体" w:hAnsi="宋体" w:hint="eastAsia"/>
                <w:sz w:val="18"/>
                <w:szCs w:val="21"/>
              </w:rPr>
              <w:t>d.耗能设备表，包括生产企业平面布置图、耗能设备清单（固有设施、新增设施）、设备清单中设备性能和参数等。</w:t>
            </w:r>
          </w:p>
        </w:tc>
      </w:tr>
      <w:tr w:rsidR="002641AB" w:rsidRPr="00746871" w14:paraId="3B0CA028" w14:textId="77777777">
        <w:trPr>
          <w:trHeight w:val="408"/>
        </w:trPr>
        <w:tc>
          <w:tcPr>
            <w:tcW w:w="1517" w:type="dxa"/>
            <w:tcBorders>
              <w:right w:val="single" w:sz="4" w:space="0" w:color="auto"/>
            </w:tcBorders>
            <w:vAlign w:val="center"/>
          </w:tcPr>
          <w:p w14:paraId="6A56B032" w14:textId="77777777" w:rsidR="002641AB" w:rsidRPr="00746871" w:rsidRDefault="002641AB" w:rsidP="002E6D2F">
            <w:pPr>
              <w:ind w:firstLineChars="0" w:firstLine="0"/>
              <w:jc w:val="center"/>
              <w:rPr>
                <w:rFonts w:ascii="宋体" w:hAnsi="宋体"/>
                <w:sz w:val="18"/>
                <w:szCs w:val="21"/>
              </w:rPr>
            </w:pPr>
            <w:r w:rsidRPr="00746871">
              <w:rPr>
                <w:rFonts w:ascii="宋体" w:hAnsi="宋体" w:cs="宋体" w:hint="eastAsia"/>
                <w:kern w:val="0"/>
                <w:sz w:val="18"/>
                <w:szCs w:val="21"/>
              </w:rPr>
              <w:t>核对选定的燃料等使用量</w:t>
            </w:r>
          </w:p>
        </w:tc>
        <w:tc>
          <w:tcPr>
            <w:tcW w:w="7005" w:type="dxa"/>
            <w:tcBorders>
              <w:top w:val="single" w:sz="4" w:space="0" w:color="auto"/>
              <w:bottom w:val="single" w:sz="4" w:space="0" w:color="auto"/>
            </w:tcBorders>
          </w:tcPr>
          <w:p w14:paraId="1AB25DA9" w14:textId="77777777" w:rsidR="002641AB" w:rsidRPr="00746871" w:rsidRDefault="002641AB" w:rsidP="002E6D2F">
            <w:pPr>
              <w:ind w:firstLineChars="0" w:firstLine="0"/>
              <w:rPr>
                <w:rFonts w:ascii="宋体" w:hAnsi="宋体"/>
                <w:sz w:val="18"/>
                <w:szCs w:val="21"/>
              </w:rPr>
            </w:pPr>
            <w:r w:rsidRPr="00746871">
              <w:rPr>
                <w:rFonts w:ascii="宋体" w:hAnsi="宋体" w:hint="eastAsia"/>
                <w:sz w:val="18"/>
                <w:szCs w:val="21"/>
              </w:rPr>
              <w:t>a.燃料燃烧排放燃料的采购清单、购入记录与票据、库存记录等；</w:t>
            </w:r>
          </w:p>
          <w:p w14:paraId="26345D10" w14:textId="56D85250" w:rsidR="002641AB" w:rsidRPr="00746871" w:rsidRDefault="00F85C54" w:rsidP="002E6D2F">
            <w:pPr>
              <w:ind w:firstLineChars="0" w:firstLine="0"/>
              <w:rPr>
                <w:rFonts w:ascii="宋体" w:hAnsi="宋体"/>
                <w:sz w:val="18"/>
                <w:szCs w:val="21"/>
              </w:rPr>
            </w:pPr>
            <w:r w:rsidRPr="00746871">
              <w:rPr>
                <w:rFonts w:ascii="宋体" w:hAnsi="宋体"/>
                <w:sz w:val="18"/>
                <w:szCs w:val="21"/>
              </w:rPr>
              <w:t>b.</w:t>
            </w:r>
            <w:r w:rsidR="002641AB" w:rsidRPr="00746871">
              <w:rPr>
                <w:rFonts w:ascii="宋体" w:hAnsi="宋体" w:hint="eastAsia"/>
                <w:sz w:val="18"/>
                <w:szCs w:val="21"/>
              </w:rPr>
              <w:t>电力、热力的采购记录与结算票据、抄表记录等；</w:t>
            </w:r>
          </w:p>
          <w:p w14:paraId="41E2F638" w14:textId="020A8451" w:rsidR="002641AB" w:rsidRPr="00746871" w:rsidRDefault="00F85C54" w:rsidP="002E6D2F">
            <w:pPr>
              <w:ind w:firstLineChars="0" w:firstLine="0"/>
              <w:rPr>
                <w:rFonts w:ascii="宋体" w:hAnsi="宋体"/>
                <w:sz w:val="18"/>
                <w:szCs w:val="21"/>
              </w:rPr>
            </w:pPr>
            <w:r w:rsidRPr="00746871">
              <w:rPr>
                <w:rFonts w:ascii="宋体" w:hAnsi="宋体"/>
                <w:sz w:val="18"/>
                <w:szCs w:val="21"/>
              </w:rPr>
              <w:t>c.</w:t>
            </w:r>
            <w:r w:rsidR="002641AB" w:rsidRPr="00746871">
              <w:rPr>
                <w:rFonts w:ascii="宋体" w:hAnsi="宋体" w:hint="eastAsia"/>
                <w:sz w:val="18"/>
                <w:szCs w:val="21"/>
              </w:rPr>
              <w:t>能源计量和监测设备清单，能源计量和监测网络图，能源计量和监测设备性能参数，能源计量和监测设备校准检定书和维护更新记录等。</w:t>
            </w:r>
          </w:p>
        </w:tc>
      </w:tr>
      <w:tr w:rsidR="002641AB" w:rsidRPr="00746871" w14:paraId="4949A12B" w14:textId="77777777">
        <w:trPr>
          <w:trHeight w:val="408"/>
        </w:trPr>
        <w:tc>
          <w:tcPr>
            <w:tcW w:w="1517" w:type="dxa"/>
            <w:tcBorders>
              <w:right w:val="single" w:sz="4" w:space="0" w:color="auto"/>
            </w:tcBorders>
            <w:vAlign w:val="center"/>
          </w:tcPr>
          <w:p w14:paraId="6E68E1E4" w14:textId="77777777" w:rsidR="002641AB" w:rsidRPr="00746871" w:rsidRDefault="002641AB" w:rsidP="002E6D2F">
            <w:pPr>
              <w:ind w:firstLineChars="0" w:firstLine="0"/>
              <w:jc w:val="center"/>
              <w:rPr>
                <w:rFonts w:ascii="宋体" w:hAnsi="宋体" w:cs="宋体"/>
                <w:kern w:val="0"/>
                <w:sz w:val="18"/>
                <w:szCs w:val="21"/>
              </w:rPr>
            </w:pPr>
            <w:r w:rsidRPr="00746871">
              <w:rPr>
                <w:rFonts w:ascii="宋体" w:hAnsi="宋体" w:cs="宋体" w:hint="eastAsia"/>
                <w:kern w:val="0"/>
                <w:sz w:val="18"/>
                <w:szCs w:val="21"/>
              </w:rPr>
              <w:t>确认排放因子</w:t>
            </w:r>
          </w:p>
        </w:tc>
        <w:tc>
          <w:tcPr>
            <w:tcW w:w="7005" w:type="dxa"/>
            <w:tcBorders>
              <w:top w:val="single" w:sz="4" w:space="0" w:color="auto"/>
              <w:bottom w:val="single" w:sz="4" w:space="0" w:color="auto"/>
            </w:tcBorders>
          </w:tcPr>
          <w:p w14:paraId="48AECCFB" w14:textId="77777777" w:rsidR="002641AB" w:rsidRPr="00746871" w:rsidRDefault="002641AB" w:rsidP="002E6D2F">
            <w:pPr>
              <w:ind w:firstLineChars="0" w:firstLine="0"/>
              <w:rPr>
                <w:rFonts w:ascii="宋体" w:hAnsi="宋体"/>
                <w:sz w:val="18"/>
                <w:szCs w:val="21"/>
              </w:rPr>
            </w:pPr>
            <w:r w:rsidRPr="00746871">
              <w:rPr>
                <w:rFonts w:ascii="宋体" w:hAnsi="宋体" w:hint="eastAsia"/>
                <w:sz w:val="18"/>
                <w:szCs w:val="21"/>
              </w:rPr>
              <w:t>a.采用自测值的实验室分析报告及记录；</w:t>
            </w:r>
          </w:p>
          <w:p w14:paraId="74FA9B69" w14:textId="77777777" w:rsidR="002641AB" w:rsidRPr="00746871" w:rsidRDefault="002641AB" w:rsidP="002E6D2F">
            <w:pPr>
              <w:ind w:firstLineChars="0" w:firstLine="0"/>
              <w:rPr>
                <w:rFonts w:ascii="宋体" w:hAnsi="宋体"/>
                <w:sz w:val="18"/>
                <w:szCs w:val="21"/>
              </w:rPr>
            </w:pPr>
            <w:r w:rsidRPr="00746871">
              <w:rPr>
                <w:rFonts w:ascii="宋体" w:hAnsi="宋体" w:hint="eastAsia"/>
                <w:sz w:val="18"/>
                <w:szCs w:val="21"/>
              </w:rPr>
              <w:t>b.采用默认值的相关规定；</w:t>
            </w:r>
          </w:p>
          <w:p w14:paraId="3B65BE7D" w14:textId="21A0D69B" w:rsidR="002641AB" w:rsidRPr="00746871" w:rsidRDefault="002641AB">
            <w:pPr>
              <w:ind w:firstLineChars="0" w:firstLine="0"/>
              <w:rPr>
                <w:rFonts w:ascii="宋体" w:hAnsi="宋体"/>
                <w:sz w:val="18"/>
                <w:szCs w:val="21"/>
              </w:rPr>
            </w:pPr>
            <w:r w:rsidRPr="00746871">
              <w:rPr>
                <w:rFonts w:ascii="宋体" w:hAnsi="宋体" w:hint="eastAsia"/>
                <w:sz w:val="18"/>
                <w:szCs w:val="21"/>
              </w:rPr>
              <w:t>c.采用</w:t>
            </w:r>
            <w:r w:rsidR="00E6084C" w:rsidRPr="00746871">
              <w:rPr>
                <w:rFonts w:ascii="宋体" w:hAnsi="宋体" w:hint="eastAsia"/>
                <w:sz w:val="18"/>
                <w:szCs w:val="21"/>
              </w:rPr>
              <w:t>区域</w:t>
            </w:r>
            <w:r w:rsidRPr="00746871">
              <w:rPr>
                <w:rFonts w:ascii="宋体" w:hAnsi="宋体" w:hint="eastAsia"/>
                <w:sz w:val="18"/>
                <w:szCs w:val="21"/>
              </w:rPr>
              <w:t>公布值出处。</w:t>
            </w:r>
          </w:p>
        </w:tc>
      </w:tr>
    </w:tbl>
    <w:p w14:paraId="246A0C70" w14:textId="67012260" w:rsidR="007D3FA5" w:rsidRPr="00746871" w:rsidRDefault="007D3FA5" w:rsidP="00C85AA2">
      <w:pPr>
        <w:spacing w:beforeLines="50" w:before="156"/>
        <w:ind w:firstLine="420"/>
      </w:pPr>
    </w:p>
    <w:p w14:paraId="2FF97FD2" w14:textId="2CCE1471" w:rsidR="00FB562A" w:rsidRPr="00746871" w:rsidRDefault="00FB562A" w:rsidP="00C85AA2">
      <w:pPr>
        <w:spacing w:beforeLines="50" w:before="156"/>
        <w:ind w:firstLine="420"/>
      </w:pPr>
      <w:r w:rsidRPr="00746871">
        <w:br w:type="page"/>
      </w:r>
    </w:p>
    <w:p w14:paraId="78F3082B" w14:textId="77777777" w:rsidR="00CB6F89" w:rsidRPr="00746871" w:rsidRDefault="00CB6F89" w:rsidP="00C85AA2">
      <w:pPr>
        <w:spacing w:beforeLines="50" w:before="156"/>
        <w:ind w:firstLine="420"/>
      </w:pPr>
    </w:p>
    <w:p w14:paraId="2A454E92" w14:textId="77777777" w:rsidR="007B01C3" w:rsidRPr="00746871" w:rsidRDefault="007B01C3" w:rsidP="007B01C3">
      <w:pPr>
        <w:pStyle w:val="1"/>
        <w:spacing w:before="312" w:after="312"/>
        <w:ind w:firstLine="420"/>
        <w:jc w:val="center"/>
      </w:pPr>
      <w:r w:rsidRPr="00746871">
        <w:rPr>
          <w:rFonts w:hint="eastAsia"/>
        </w:rPr>
        <w:t>附录</w:t>
      </w:r>
      <w:r w:rsidRPr="00746871">
        <w:t>C</w:t>
      </w:r>
    </w:p>
    <w:p w14:paraId="3FE3F036" w14:textId="77777777" w:rsidR="007B01C3" w:rsidRPr="00746871" w:rsidRDefault="007B01C3" w:rsidP="007B01C3">
      <w:pPr>
        <w:pStyle w:val="a9"/>
        <w:jc w:val="center"/>
        <w:rPr>
          <w:rFonts w:eastAsia="宋体" w:hAnsi="宋体"/>
        </w:rPr>
      </w:pPr>
      <w:r w:rsidRPr="00746871">
        <w:rPr>
          <w:rFonts w:eastAsia="宋体" w:hAnsi="宋体" w:hint="eastAsia"/>
        </w:rPr>
        <w:t>（资料性附录）</w:t>
      </w:r>
    </w:p>
    <w:p w14:paraId="268311CC" w14:textId="50493CC3" w:rsidR="007B01C3" w:rsidRPr="00746871" w:rsidRDefault="00103828" w:rsidP="007B01C3">
      <w:pPr>
        <w:pStyle w:val="a9"/>
        <w:jc w:val="center"/>
        <w:rPr>
          <w:rFonts w:eastAsia="宋体" w:hAnsi="宋体"/>
        </w:rPr>
      </w:pPr>
      <w:r w:rsidRPr="00746871">
        <w:rPr>
          <w:rFonts w:eastAsia="宋体" w:hAnsi="宋体" w:hint="eastAsia"/>
        </w:rPr>
        <w:t>相关参数缺省值</w:t>
      </w:r>
    </w:p>
    <w:p w14:paraId="1A4BBF97" w14:textId="570A9DAC" w:rsidR="007B01C3" w:rsidRPr="00746871" w:rsidRDefault="002D1027" w:rsidP="002D1027">
      <w:pPr>
        <w:pStyle w:val="a9"/>
        <w:rPr>
          <w:rFonts w:eastAsia="宋体" w:hAnsi="宋体"/>
          <w:bCs/>
        </w:rPr>
      </w:pPr>
      <w:r>
        <w:rPr>
          <w:rFonts w:eastAsia="宋体" w:hAnsi="宋体" w:hint="eastAsia"/>
          <w:bCs/>
        </w:rPr>
        <w:t>常用燃料的相关参数推荐值分别见表C</w:t>
      </w:r>
      <w:r>
        <w:rPr>
          <w:rFonts w:eastAsia="宋体" w:hAnsi="宋体"/>
          <w:bCs/>
        </w:rPr>
        <w:t>.1</w:t>
      </w:r>
      <w:r>
        <w:rPr>
          <w:rFonts w:eastAsia="宋体" w:hAnsi="宋体" w:hint="eastAsia"/>
          <w:bCs/>
        </w:rPr>
        <w:t>。</w:t>
      </w:r>
    </w:p>
    <w:p w14:paraId="6701D081" w14:textId="1D6976A0" w:rsidR="007B01C3" w:rsidRPr="00746871" w:rsidRDefault="007B01C3" w:rsidP="007B01C3">
      <w:pPr>
        <w:widowControl/>
        <w:ind w:firstLineChars="0" w:firstLine="0"/>
        <w:jc w:val="center"/>
        <w:rPr>
          <w:rFonts w:ascii="宋体" w:hAnsi="宋体"/>
          <w:bCs/>
          <w:szCs w:val="21"/>
        </w:rPr>
      </w:pPr>
      <w:r w:rsidRPr="00746871">
        <w:rPr>
          <w:rFonts w:ascii="宋体" w:hAnsi="宋体" w:hint="eastAsia"/>
          <w:bCs/>
          <w:szCs w:val="21"/>
        </w:rPr>
        <w:t>表</w:t>
      </w:r>
      <w:r w:rsidR="00887CBE" w:rsidRPr="00746871">
        <w:rPr>
          <w:rFonts w:ascii="宋体" w:hAnsi="宋体"/>
          <w:bCs/>
          <w:szCs w:val="21"/>
        </w:rPr>
        <w:t>C</w:t>
      </w:r>
      <w:r w:rsidRPr="00746871">
        <w:rPr>
          <w:rFonts w:ascii="宋体" w:hAnsi="宋体"/>
          <w:bCs/>
          <w:szCs w:val="21"/>
        </w:rPr>
        <w:t>.1</w:t>
      </w:r>
      <w:r w:rsidRPr="00746871">
        <w:rPr>
          <w:rFonts w:ascii="宋体" w:hAnsi="宋体" w:hint="eastAsia"/>
          <w:bCs/>
          <w:szCs w:val="21"/>
        </w:rPr>
        <w:t xml:space="preserve">  </w:t>
      </w:r>
      <w:r w:rsidR="00B218D5" w:rsidRPr="00746871">
        <w:rPr>
          <w:rFonts w:ascii="宋体" w:hAnsi="宋体" w:hint="eastAsia"/>
          <w:bCs/>
          <w:szCs w:val="21"/>
        </w:rPr>
        <w:t>常见化石燃料特性参数缺省值</w:t>
      </w:r>
    </w:p>
    <w:tbl>
      <w:tblPr>
        <w:tblStyle w:val="afc"/>
        <w:tblW w:w="9397" w:type="dxa"/>
        <w:jc w:val="center"/>
        <w:tblLook w:val="04A0" w:firstRow="1" w:lastRow="0" w:firstColumn="1" w:lastColumn="0" w:noHBand="0" w:noVBand="1"/>
      </w:tblPr>
      <w:tblGrid>
        <w:gridCol w:w="501"/>
        <w:gridCol w:w="1667"/>
        <w:gridCol w:w="1134"/>
        <w:gridCol w:w="2268"/>
        <w:gridCol w:w="1843"/>
        <w:gridCol w:w="604"/>
        <w:gridCol w:w="1380"/>
      </w:tblGrid>
      <w:tr w:rsidR="00A3772D" w:rsidRPr="00A3772D" w14:paraId="4C499FB2" w14:textId="77777777" w:rsidTr="00F85C56">
        <w:trPr>
          <w:trHeight w:val="397"/>
          <w:jc w:val="center"/>
        </w:trPr>
        <w:tc>
          <w:tcPr>
            <w:tcW w:w="2168" w:type="dxa"/>
            <w:gridSpan w:val="2"/>
            <w:vAlign w:val="center"/>
          </w:tcPr>
          <w:p w14:paraId="51100661" w14:textId="77777777" w:rsidR="00312C1E" w:rsidRPr="00A3772D" w:rsidRDefault="00312C1E" w:rsidP="00A3772D">
            <w:pPr>
              <w:ind w:firstLineChars="0" w:firstLine="0"/>
              <w:jc w:val="left"/>
              <w:rPr>
                <w:rFonts w:ascii="宋体" w:hAnsi="宋体"/>
                <w:b/>
                <w:bCs/>
                <w:szCs w:val="21"/>
              </w:rPr>
            </w:pPr>
            <w:r w:rsidRPr="00A3772D">
              <w:rPr>
                <w:rFonts w:ascii="宋体" w:hAnsi="宋体"/>
                <w:b/>
                <w:bCs/>
                <w:szCs w:val="21"/>
              </w:rPr>
              <w:t>燃料品种</w:t>
            </w:r>
          </w:p>
        </w:tc>
        <w:tc>
          <w:tcPr>
            <w:tcW w:w="1134" w:type="dxa"/>
            <w:vAlign w:val="center"/>
          </w:tcPr>
          <w:p w14:paraId="6ED1A229" w14:textId="77777777" w:rsidR="00312C1E" w:rsidRPr="00A3772D" w:rsidRDefault="00312C1E" w:rsidP="00A3772D">
            <w:pPr>
              <w:ind w:firstLineChars="0" w:firstLine="0"/>
              <w:jc w:val="left"/>
              <w:rPr>
                <w:rFonts w:ascii="宋体" w:hAnsi="宋体"/>
                <w:b/>
                <w:bCs/>
                <w:szCs w:val="21"/>
              </w:rPr>
            </w:pPr>
            <w:r w:rsidRPr="00A3772D">
              <w:rPr>
                <w:rFonts w:ascii="宋体" w:hAnsi="宋体"/>
                <w:b/>
                <w:bCs/>
                <w:szCs w:val="21"/>
              </w:rPr>
              <w:t>计量单位</w:t>
            </w:r>
          </w:p>
        </w:tc>
        <w:tc>
          <w:tcPr>
            <w:tcW w:w="2268" w:type="dxa"/>
            <w:vAlign w:val="center"/>
          </w:tcPr>
          <w:p w14:paraId="7B46E073" w14:textId="77777777" w:rsidR="00312C1E" w:rsidRPr="00A3772D" w:rsidRDefault="00312C1E" w:rsidP="00A3772D">
            <w:pPr>
              <w:ind w:firstLineChars="0" w:firstLine="0"/>
              <w:jc w:val="left"/>
              <w:rPr>
                <w:rFonts w:ascii="宋体" w:hAnsi="宋体"/>
                <w:b/>
                <w:bCs/>
                <w:szCs w:val="21"/>
              </w:rPr>
            </w:pPr>
            <w:r w:rsidRPr="00A3772D">
              <w:rPr>
                <w:rFonts w:ascii="宋体" w:hAnsi="宋体"/>
                <w:b/>
                <w:bCs/>
                <w:szCs w:val="21"/>
              </w:rPr>
              <w:t>低位发热量</w:t>
            </w:r>
          </w:p>
          <w:p w14:paraId="691D88CC" w14:textId="77777777" w:rsidR="00312C1E" w:rsidRPr="00A3772D" w:rsidRDefault="00312C1E" w:rsidP="00A3772D">
            <w:pPr>
              <w:ind w:firstLineChars="0" w:firstLine="0"/>
              <w:jc w:val="left"/>
              <w:rPr>
                <w:rFonts w:ascii="宋体" w:hAnsi="宋体"/>
                <w:b/>
                <w:bCs/>
                <w:szCs w:val="21"/>
                <w:vertAlign w:val="superscript"/>
              </w:rPr>
            </w:pPr>
            <w:r w:rsidRPr="00A3772D">
              <w:rPr>
                <w:rFonts w:ascii="宋体" w:hAnsi="宋体"/>
                <w:b/>
                <w:bCs/>
                <w:szCs w:val="21"/>
              </w:rPr>
              <w:t>（GJ/t，GJ/10</w:t>
            </w:r>
            <w:r w:rsidRPr="00A3772D">
              <w:rPr>
                <w:rFonts w:ascii="宋体" w:hAnsi="宋体"/>
                <w:b/>
                <w:bCs/>
                <w:szCs w:val="21"/>
                <w:vertAlign w:val="superscript"/>
              </w:rPr>
              <w:t>4</w:t>
            </w:r>
            <w:r w:rsidRPr="00A3772D">
              <w:rPr>
                <w:rFonts w:ascii="宋体" w:hAnsi="宋体"/>
                <w:b/>
                <w:bCs/>
                <w:szCs w:val="21"/>
              </w:rPr>
              <w:t>Nm</w:t>
            </w:r>
            <w:r w:rsidRPr="00A3772D">
              <w:rPr>
                <w:rFonts w:ascii="宋体" w:hAnsi="宋体"/>
                <w:b/>
                <w:bCs/>
                <w:szCs w:val="21"/>
                <w:vertAlign w:val="superscript"/>
              </w:rPr>
              <w:t>3</w:t>
            </w:r>
            <w:r w:rsidRPr="00A3772D">
              <w:rPr>
                <w:rFonts w:ascii="宋体" w:hAnsi="宋体"/>
                <w:b/>
                <w:bCs/>
                <w:szCs w:val="21"/>
              </w:rPr>
              <w:t>）</w:t>
            </w:r>
          </w:p>
        </w:tc>
        <w:tc>
          <w:tcPr>
            <w:tcW w:w="1843" w:type="dxa"/>
            <w:vAlign w:val="center"/>
          </w:tcPr>
          <w:p w14:paraId="2D15DF0A" w14:textId="77777777" w:rsidR="00312C1E" w:rsidRPr="00A3772D" w:rsidRDefault="00312C1E" w:rsidP="00A3772D">
            <w:pPr>
              <w:ind w:firstLineChars="0" w:firstLine="0"/>
              <w:jc w:val="left"/>
              <w:rPr>
                <w:rFonts w:ascii="宋体" w:hAnsi="宋体"/>
                <w:b/>
                <w:bCs/>
                <w:szCs w:val="21"/>
              </w:rPr>
            </w:pPr>
            <w:r w:rsidRPr="00A3772D">
              <w:rPr>
                <w:rFonts w:ascii="宋体" w:hAnsi="宋体"/>
                <w:b/>
                <w:bCs/>
                <w:szCs w:val="21"/>
              </w:rPr>
              <w:t>单位热值含碳量</w:t>
            </w:r>
          </w:p>
          <w:p w14:paraId="3B1A4FCF" w14:textId="77777777" w:rsidR="00312C1E" w:rsidRPr="00A3772D" w:rsidRDefault="00312C1E" w:rsidP="00A3772D">
            <w:pPr>
              <w:ind w:firstLineChars="0" w:firstLine="0"/>
              <w:jc w:val="left"/>
              <w:rPr>
                <w:rFonts w:ascii="宋体" w:hAnsi="宋体"/>
                <w:b/>
                <w:bCs/>
                <w:szCs w:val="21"/>
              </w:rPr>
            </w:pPr>
            <w:r w:rsidRPr="00A3772D">
              <w:rPr>
                <w:rFonts w:ascii="宋体" w:hAnsi="宋体"/>
                <w:b/>
                <w:bCs/>
                <w:szCs w:val="21"/>
              </w:rPr>
              <w:t>（tC/GJ）</w:t>
            </w:r>
          </w:p>
        </w:tc>
        <w:tc>
          <w:tcPr>
            <w:tcW w:w="1984" w:type="dxa"/>
            <w:gridSpan w:val="2"/>
            <w:vAlign w:val="center"/>
          </w:tcPr>
          <w:p w14:paraId="7B74957B" w14:textId="77777777" w:rsidR="00312C1E" w:rsidRPr="00A3772D" w:rsidRDefault="00312C1E" w:rsidP="00A3772D">
            <w:pPr>
              <w:ind w:firstLineChars="0" w:firstLine="0"/>
              <w:jc w:val="left"/>
              <w:rPr>
                <w:rFonts w:ascii="宋体" w:hAnsi="宋体"/>
                <w:b/>
                <w:bCs/>
                <w:szCs w:val="21"/>
              </w:rPr>
            </w:pPr>
            <w:r w:rsidRPr="00A3772D">
              <w:rPr>
                <w:rFonts w:ascii="宋体" w:hAnsi="宋体"/>
                <w:b/>
                <w:bCs/>
                <w:szCs w:val="21"/>
              </w:rPr>
              <w:t>燃料碳氧化率</w:t>
            </w:r>
          </w:p>
          <w:p w14:paraId="4297955B" w14:textId="77777777" w:rsidR="00312C1E" w:rsidRPr="00A3772D" w:rsidRDefault="00312C1E" w:rsidP="00A3772D">
            <w:pPr>
              <w:ind w:firstLineChars="0" w:firstLine="0"/>
              <w:jc w:val="left"/>
              <w:rPr>
                <w:rFonts w:ascii="宋体" w:hAnsi="宋体"/>
                <w:b/>
                <w:bCs/>
                <w:szCs w:val="21"/>
              </w:rPr>
            </w:pPr>
            <w:r w:rsidRPr="00A3772D">
              <w:rPr>
                <w:rFonts w:ascii="宋体" w:hAnsi="宋体"/>
                <w:b/>
                <w:bCs/>
                <w:szCs w:val="21"/>
              </w:rPr>
              <w:t>（%）</w:t>
            </w:r>
          </w:p>
        </w:tc>
      </w:tr>
      <w:tr w:rsidR="009107A1" w:rsidRPr="00A3772D" w14:paraId="648068A9" w14:textId="77777777" w:rsidTr="00F85C56">
        <w:trPr>
          <w:trHeight w:val="397"/>
          <w:jc w:val="center"/>
        </w:trPr>
        <w:tc>
          <w:tcPr>
            <w:tcW w:w="501" w:type="dxa"/>
            <w:vMerge w:val="restart"/>
            <w:vAlign w:val="center"/>
          </w:tcPr>
          <w:p w14:paraId="46913F59" w14:textId="77777777" w:rsidR="009107A1" w:rsidRPr="00A3772D" w:rsidRDefault="009107A1" w:rsidP="009107A1">
            <w:pPr>
              <w:ind w:firstLineChars="0" w:firstLine="0"/>
              <w:jc w:val="left"/>
              <w:rPr>
                <w:rFonts w:ascii="宋体" w:hAnsi="宋体"/>
                <w:bCs/>
                <w:szCs w:val="21"/>
              </w:rPr>
            </w:pPr>
            <w:r w:rsidRPr="00A3772D">
              <w:rPr>
                <w:rFonts w:ascii="宋体" w:hAnsi="宋体" w:hint="eastAsia"/>
                <w:bCs/>
                <w:szCs w:val="21"/>
              </w:rPr>
              <w:t>固</w:t>
            </w:r>
          </w:p>
          <w:p w14:paraId="4D380F93" w14:textId="77777777" w:rsidR="009107A1" w:rsidRPr="00A3772D" w:rsidRDefault="009107A1" w:rsidP="009107A1">
            <w:pPr>
              <w:ind w:firstLineChars="0" w:firstLine="0"/>
              <w:jc w:val="left"/>
              <w:rPr>
                <w:rFonts w:ascii="宋体" w:hAnsi="宋体"/>
                <w:bCs/>
                <w:szCs w:val="21"/>
              </w:rPr>
            </w:pPr>
            <w:r w:rsidRPr="00A3772D">
              <w:rPr>
                <w:rFonts w:ascii="宋体" w:hAnsi="宋体" w:hint="eastAsia"/>
                <w:bCs/>
                <w:szCs w:val="21"/>
              </w:rPr>
              <w:t>体</w:t>
            </w:r>
          </w:p>
          <w:p w14:paraId="7ABA56DC" w14:textId="77777777" w:rsidR="009107A1" w:rsidRPr="00A3772D" w:rsidRDefault="009107A1" w:rsidP="009107A1">
            <w:pPr>
              <w:ind w:firstLineChars="0" w:firstLine="0"/>
              <w:jc w:val="left"/>
              <w:rPr>
                <w:rFonts w:ascii="宋体" w:hAnsi="宋体"/>
                <w:bCs/>
                <w:szCs w:val="21"/>
              </w:rPr>
            </w:pPr>
            <w:r w:rsidRPr="00A3772D">
              <w:rPr>
                <w:rFonts w:ascii="宋体" w:hAnsi="宋体" w:hint="eastAsia"/>
                <w:bCs/>
                <w:szCs w:val="21"/>
              </w:rPr>
              <w:t>燃</w:t>
            </w:r>
          </w:p>
          <w:p w14:paraId="65C9F253" w14:textId="59A33BAB" w:rsidR="009107A1" w:rsidRPr="00A3772D" w:rsidRDefault="009107A1" w:rsidP="009107A1">
            <w:pPr>
              <w:ind w:firstLineChars="0" w:firstLine="0"/>
              <w:jc w:val="left"/>
              <w:rPr>
                <w:rFonts w:ascii="宋体" w:hAnsi="宋体"/>
                <w:bCs/>
                <w:szCs w:val="21"/>
              </w:rPr>
            </w:pPr>
            <w:r w:rsidRPr="00A3772D">
              <w:rPr>
                <w:rFonts w:ascii="宋体" w:hAnsi="宋体" w:hint="eastAsia"/>
                <w:bCs/>
                <w:szCs w:val="21"/>
              </w:rPr>
              <w:t>料</w:t>
            </w:r>
          </w:p>
        </w:tc>
        <w:tc>
          <w:tcPr>
            <w:tcW w:w="1667" w:type="dxa"/>
            <w:vAlign w:val="center"/>
          </w:tcPr>
          <w:p w14:paraId="0F6250B1" w14:textId="77777777" w:rsidR="009107A1" w:rsidRPr="00A3772D" w:rsidRDefault="009107A1" w:rsidP="00A3772D">
            <w:pPr>
              <w:ind w:firstLineChars="0" w:firstLine="0"/>
              <w:jc w:val="left"/>
              <w:rPr>
                <w:rFonts w:ascii="宋体" w:hAnsi="宋体"/>
                <w:bCs/>
                <w:szCs w:val="21"/>
              </w:rPr>
            </w:pPr>
            <w:r w:rsidRPr="00A3772D">
              <w:rPr>
                <w:rFonts w:ascii="宋体" w:hAnsi="宋体"/>
                <w:bCs/>
                <w:szCs w:val="21"/>
              </w:rPr>
              <w:t>无烟煤</w:t>
            </w:r>
          </w:p>
        </w:tc>
        <w:tc>
          <w:tcPr>
            <w:tcW w:w="1134" w:type="dxa"/>
            <w:vAlign w:val="center"/>
          </w:tcPr>
          <w:p w14:paraId="49BE576A" w14:textId="77777777" w:rsidR="009107A1" w:rsidRPr="00A3772D" w:rsidRDefault="009107A1" w:rsidP="00A3772D">
            <w:pPr>
              <w:ind w:firstLineChars="0" w:firstLine="0"/>
              <w:jc w:val="left"/>
              <w:rPr>
                <w:rFonts w:ascii="宋体" w:hAnsi="宋体"/>
                <w:bCs/>
                <w:szCs w:val="21"/>
              </w:rPr>
            </w:pPr>
            <w:r w:rsidRPr="00A3772D">
              <w:rPr>
                <w:rFonts w:ascii="宋体" w:hAnsi="宋体"/>
                <w:bCs/>
                <w:szCs w:val="21"/>
              </w:rPr>
              <w:t>t</w:t>
            </w:r>
          </w:p>
        </w:tc>
        <w:tc>
          <w:tcPr>
            <w:tcW w:w="2268" w:type="dxa"/>
            <w:vAlign w:val="center"/>
          </w:tcPr>
          <w:p w14:paraId="262C516E" w14:textId="77777777" w:rsidR="009107A1" w:rsidRPr="00A3772D" w:rsidRDefault="009107A1" w:rsidP="00A3772D">
            <w:pPr>
              <w:ind w:firstLineChars="0" w:firstLine="0"/>
              <w:jc w:val="left"/>
              <w:rPr>
                <w:rFonts w:ascii="宋体" w:hAnsi="宋体"/>
                <w:szCs w:val="21"/>
              </w:rPr>
            </w:pPr>
            <w:r w:rsidRPr="00A3772D">
              <w:rPr>
                <w:rFonts w:ascii="宋体" w:hAnsi="宋体"/>
                <w:szCs w:val="21"/>
              </w:rPr>
              <w:t>26.7</w:t>
            </w:r>
            <w:r w:rsidRPr="00A3772D">
              <w:rPr>
                <w:rFonts w:ascii="宋体" w:hAnsi="宋体"/>
                <w:szCs w:val="21"/>
                <w:vertAlign w:val="superscript"/>
              </w:rPr>
              <w:t>c</w:t>
            </w:r>
          </w:p>
        </w:tc>
        <w:tc>
          <w:tcPr>
            <w:tcW w:w="1843" w:type="dxa"/>
            <w:vAlign w:val="center"/>
          </w:tcPr>
          <w:p w14:paraId="0D3CAD39" w14:textId="77777777" w:rsidR="009107A1" w:rsidRPr="00A3772D" w:rsidRDefault="009107A1" w:rsidP="00A3772D">
            <w:pPr>
              <w:ind w:firstLineChars="0" w:firstLine="0"/>
              <w:jc w:val="left"/>
              <w:rPr>
                <w:rFonts w:ascii="宋体" w:hAnsi="宋体"/>
                <w:szCs w:val="21"/>
              </w:rPr>
            </w:pPr>
            <w:r w:rsidRPr="00A3772D">
              <w:rPr>
                <w:rFonts w:ascii="宋体" w:hAnsi="宋体"/>
                <w:szCs w:val="21"/>
              </w:rPr>
              <w:t>27.4</w:t>
            </w:r>
            <w:r w:rsidRPr="00A3772D">
              <w:rPr>
                <w:rFonts w:ascii="宋体" w:hAnsi="宋体"/>
                <w:szCs w:val="21"/>
                <w:vertAlign w:val="superscript"/>
              </w:rPr>
              <w:t>b</w:t>
            </w:r>
            <w:r w:rsidRPr="00A3772D">
              <w:rPr>
                <w:rFonts w:ascii="宋体" w:hAnsi="宋体"/>
                <w:szCs w:val="21"/>
              </w:rPr>
              <w:t>×10</w:t>
            </w:r>
            <w:r w:rsidRPr="00A3772D">
              <w:rPr>
                <w:rFonts w:ascii="宋体" w:hAnsi="宋体"/>
                <w:szCs w:val="21"/>
                <w:vertAlign w:val="superscript"/>
              </w:rPr>
              <w:t>-3</w:t>
            </w:r>
          </w:p>
        </w:tc>
        <w:tc>
          <w:tcPr>
            <w:tcW w:w="604" w:type="dxa"/>
            <w:vAlign w:val="center"/>
          </w:tcPr>
          <w:p w14:paraId="6BCE2963" w14:textId="77777777" w:rsidR="009107A1" w:rsidRPr="00A3772D" w:rsidRDefault="009107A1" w:rsidP="00A3772D">
            <w:pPr>
              <w:ind w:firstLineChars="0" w:firstLine="0"/>
              <w:jc w:val="left"/>
              <w:rPr>
                <w:rFonts w:ascii="宋体" w:hAnsi="宋体"/>
                <w:bCs/>
                <w:szCs w:val="21"/>
              </w:rPr>
            </w:pPr>
            <w:r w:rsidRPr="00A3772D">
              <w:rPr>
                <w:rFonts w:ascii="宋体" w:hAnsi="宋体"/>
                <w:color w:val="000000"/>
                <w:szCs w:val="21"/>
              </w:rPr>
              <w:t>94</w:t>
            </w:r>
            <w:r w:rsidRPr="00A3772D">
              <w:rPr>
                <w:rFonts w:ascii="宋体" w:hAnsi="宋体"/>
                <w:szCs w:val="21"/>
                <w:vertAlign w:val="superscript"/>
              </w:rPr>
              <w:t xml:space="preserve"> b</w:t>
            </w:r>
          </w:p>
        </w:tc>
        <w:tc>
          <w:tcPr>
            <w:tcW w:w="1380" w:type="dxa"/>
            <w:vMerge w:val="restart"/>
            <w:vAlign w:val="center"/>
          </w:tcPr>
          <w:p w14:paraId="5F16B851" w14:textId="77777777" w:rsidR="009107A1" w:rsidRPr="00A3772D" w:rsidRDefault="009107A1" w:rsidP="00A3772D">
            <w:pPr>
              <w:ind w:firstLineChars="0" w:firstLine="0"/>
              <w:jc w:val="left"/>
              <w:rPr>
                <w:rFonts w:ascii="宋体" w:hAnsi="宋体"/>
                <w:bCs/>
                <w:szCs w:val="21"/>
              </w:rPr>
            </w:pPr>
            <w:r w:rsidRPr="00A3772D">
              <w:rPr>
                <w:rFonts w:ascii="宋体" w:hAnsi="宋体"/>
                <w:bCs/>
                <w:szCs w:val="21"/>
              </w:rPr>
              <w:t>93（喷雾塔）</w:t>
            </w:r>
          </w:p>
          <w:p w14:paraId="05A9F749" w14:textId="77777777" w:rsidR="009107A1" w:rsidRPr="00A3772D" w:rsidRDefault="009107A1" w:rsidP="00A3772D">
            <w:pPr>
              <w:ind w:firstLineChars="0" w:firstLine="0"/>
              <w:jc w:val="left"/>
              <w:rPr>
                <w:rFonts w:ascii="宋体" w:hAnsi="宋体"/>
                <w:color w:val="000000"/>
                <w:szCs w:val="21"/>
              </w:rPr>
            </w:pPr>
            <w:r w:rsidRPr="00A3772D">
              <w:rPr>
                <w:rFonts w:ascii="宋体" w:hAnsi="宋体"/>
                <w:bCs/>
                <w:szCs w:val="21"/>
              </w:rPr>
              <w:t>86（煤气站）</w:t>
            </w:r>
          </w:p>
        </w:tc>
      </w:tr>
      <w:tr w:rsidR="009107A1" w:rsidRPr="00A3772D" w14:paraId="7E63E11D" w14:textId="77777777" w:rsidTr="00F85C56">
        <w:trPr>
          <w:trHeight w:val="397"/>
          <w:jc w:val="center"/>
        </w:trPr>
        <w:tc>
          <w:tcPr>
            <w:tcW w:w="501" w:type="dxa"/>
            <w:vMerge/>
            <w:vAlign w:val="center"/>
          </w:tcPr>
          <w:p w14:paraId="2D3BFDA1" w14:textId="77777777" w:rsidR="009107A1" w:rsidRPr="00A3772D" w:rsidRDefault="009107A1" w:rsidP="00A3772D">
            <w:pPr>
              <w:ind w:firstLineChars="0" w:firstLine="0"/>
              <w:jc w:val="left"/>
              <w:rPr>
                <w:rFonts w:ascii="宋体" w:hAnsi="宋体"/>
                <w:bCs/>
                <w:szCs w:val="21"/>
              </w:rPr>
            </w:pPr>
          </w:p>
        </w:tc>
        <w:tc>
          <w:tcPr>
            <w:tcW w:w="1667" w:type="dxa"/>
            <w:vAlign w:val="center"/>
          </w:tcPr>
          <w:p w14:paraId="717DC1FB" w14:textId="77777777" w:rsidR="009107A1" w:rsidRPr="00A3772D" w:rsidRDefault="009107A1" w:rsidP="00A3772D">
            <w:pPr>
              <w:ind w:firstLineChars="0" w:firstLine="0"/>
              <w:jc w:val="left"/>
              <w:rPr>
                <w:rFonts w:ascii="宋体" w:hAnsi="宋体"/>
                <w:bCs/>
                <w:szCs w:val="21"/>
              </w:rPr>
            </w:pPr>
            <w:r w:rsidRPr="00A3772D">
              <w:rPr>
                <w:rFonts w:ascii="宋体" w:hAnsi="宋体"/>
                <w:bCs/>
                <w:szCs w:val="21"/>
              </w:rPr>
              <w:t>烟煤</w:t>
            </w:r>
          </w:p>
        </w:tc>
        <w:tc>
          <w:tcPr>
            <w:tcW w:w="1134" w:type="dxa"/>
            <w:vAlign w:val="center"/>
          </w:tcPr>
          <w:p w14:paraId="0087B8BE" w14:textId="77777777" w:rsidR="009107A1" w:rsidRPr="00A3772D" w:rsidRDefault="009107A1" w:rsidP="00A3772D">
            <w:pPr>
              <w:ind w:firstLineChars="0" w:firstLine="0"/>
              <w:jc w:val="left"/>
              <w:rPr>
                <w:rFonts w:ascii="宋体" w:hAnsi="宋体"/>
                <w:bCs/>
                <w:szCs w:val="21"/>
              </w:rPr>
            </w:pPr>
            <w:r w:rsidRPr="00A3772D">
              <w:rPr>
                <w:rFonts w:ascii="宋体" w:hAnsi="宋体"/>
                <w:bCs/>
                <w:szCs w:val="21"/>
              </w:rPr>
              <w:t>t</w:t>
            </w:r>
          </w:p>
        </w:tc>
        <w:tc>
          <w:tcPr>
            <w:tcW w:w="2268" w:type="dxa"/>
            <w:vAlign w:val="center"/>
          </w:tcPr>
          <w:p w14:paraId="71C6FC8E" w14:textId="77777777" w:rsidR="009107A1" w:rsidRPr="00A3772D" w:rsidRDefault="009107A1" w:rsidP="00A3772D">
            <w:pPr>
              <w:ind w:firstLineChars="0" w:firstLine="0"/>
              <w:jc w:val="left"/>
              <w:rPr>
                <w:rFonts w:ascii="宋体" w:hAnsi="宋体"/>
                <w:szCs w:val="21"/>
              </w:rPr>
            </w:pPr>
            <w:r w:rsidRPr="00A3772D">
              <w:rPr>
                <w:rFonts w:ascii="宋体" w:hAnsi="宋体"/>
                <w:szCs w:val="21"/>
              </w:rPr>
              <w:t>19.570</w:t>
            </w:r>
            <w:r w:rsidRPr="00A3772D">
              <w:rPr>
                <w:rFonts w:ascii="宋体" w:hAnsi="宋体"/>
                <w:szCs w:val="21"/>
                <w:vertAlign w:val="superscript"/>
              </w:rPr>
              <w:t>d</w:t>
            </w:r>
          </w:p>
        </w:tc>
        <w:tc>
          <w:tcPr>
            <w:tcW w:w="1843" w:type="dxa"/>
            <w:vAlign w:val="center"/>
          </w:tcPr>
          <w:p w14:paraId="79D3C1E1" w14:textId="77777777" w:rsidR="009107A1" w:rsidRPr="00A3772D" w:rsidRDefault="009107A1" w:rsidP="00A3772D">
            <w:pPr>
              <w:ind w:firstLineChars="0" w:firstLine="0"/>
              <w:jc w:val="left"/>
              <w:rPr>
                <w:rFonts w:ascii="宋体" w:hAnsi="宋体"/>
                <w:szCs w:val="21"/>
              </w:rPr>
            </w:pPr>
            <w:r w:rsidRPr="00A3772D">
              <w:rPr>
                <w:rFonts w:ascii="宋体" w:hAnsi="宋体"/>
                <w:szCs w:val="21"/>
              </w:rPr>
              <w:t>26.1</w:t>
            </w:r>
            <w:r w:rsidRPr="00A3772D">
              <w:rPr>
                <w:rFonts w:ascii="宋体" w:hAnsi="宋体"/>
                <w:szCs w:val="21"/>
                <w:vertAlign w:val="superscript"/>
              </w:rPr>
              <w:t>b</w:t>
            </w:r>
            <w:r w:rsidRPr="00A3772D">
              <w:rPr>
                <w:rFonts w:ascii="宋体" w:hAnsi="宋体"/>
                <w:szCs w:val="21"/>
              </w:rPr>
              <w:t>×10</w:t>
            </w:r>
            <w:r w:rsidRPr="00A3772D">
              <w:rPr>
                <w:rFonts w:ascii="宋体" w:hAnsi="宋体"/>
                <w:szCs w:val="21"/>
                <w:vertAlign w:val="superscript"/>
              </w:rPr>
              <w:t>-3</w:t>
            </w:r>
          </w:p>
        </w:tc>
        <w:tc>
          <w:tcPr>
            <w:tcW w:w="604" w:type="dxa"/>
            <w:vAlign w:val="center"/>
          </w:tcPr>
          <w:p w14:paraId="4BC1C881" w14:textId="77777777" w:rsidR="009107A1" w:rsidRPr="00A3772D" w:rsidRDefault="009107A1" w:rsidP="00A3772D">
            <w:pPr>
              <w:ind w:firstLineChars="0" w:firstLine="0"/>
              <w:jc w:val="left"/>
              <w:rPr>
                <w:rFonts w:ascii="宋体" w:hAnsi="宋体"/>
                <w:bCs/>
                <w:szCs w:val="21"/>
              </w:rPr>
            </w:pPr>
            <w:r w:rsidRPr="00A3772D">
              <w:rPr>
                <w:rFonts w:ascii="宋体" w:hAnsi="宋体"/>
                <w:color w:val="000000"/>
                <w:szCs w:val="21"/>
              </w:rPr>
              <w:t>93</w:t>
            </w:r>
            <w:r w:rsidRPr="00A3772D">
              <w:rPr>
                <w:rFonts w:ascii="宋体" w:hAnsi="宋体"/>
                <w:szCs w:val="21"/>
                <w:vertAlign w:val="superscript"/>
              </w:rPr>
              <w:t xml:space="preserve"> b</w:t>
            </w:r>
          </w:p>
        </w:tc>
        <w:tc>
          <w:tcPr>
            <w:tcW w:w="1380" w:type="dxa"/>
            <w:vMerge/>
            <w:vAlign w:val="center"/>
          </w:tcPr>
          <w:p w14:paraId="6435C8C4" w14:textId="77777777" w:rsidR="009107A1" w:rsidRPr="00A3772D" w:rsidRDefault="009107A1" w:rsidP="00A3772D">
            <w:pPr>
              <w:ind w:firstLineChars="0" w:firstLine="0"/>
              <w:jc w:val="left"/>
              <w:rPr>
                <w:rFonts w:ascii="宋体" w:hAnsi="宋体"/>
                <w:color w:val="000000"/>
                <w:szCs w:val="21"/>
              </w:rPr>
            </w:pPr>
          </w:p>
        </w:tc>
      </w:tr>
      <w:tr w:rsidR="009107A1" w:rsidRPr="00A3772D" w14:paraId="56013A4B" w14:textId="77777777" w:rsidTr="00F85C56">
        <w:trPr>
          <w:trHeight w:val="397"/>
          <w:jc w:val="center"/>
        </w:trPr>
        <w:tc>
          <w:tcPr>
            <w:tcW w:w="501" w:type="dxa"/>
            <w:vMerge/>
            <w:vAlign w:val="center"/>
          </w:tcPr>
          <w:p w14:paraId="58C0148A" w14:textId="77777777" w:rsidR="009107A1" w:rsidRPr="00A3772D" w:rsidRDefault="009107A1" w:rsidP="00A3772D">
            <w:pPr>
              <w:ind w:firstLineChars="0" w:firstLine="0"/>
              <w:jc w:val="left"/>
              <w:rPr>
                <w:rFonts w:ascii="宋体" w:hAnsi="宋体"/>
                <w:bCs/>
                <w:szCs w:val="21"/>
              </w:rPr>
            </w:pPr>
          </w:p>
        </w:tc>
        <w:tc>
          <w:tcPr>
            <w:tcW w:w="1667" w:type="dxa"/>
            <w:vAlign w:val="center"/>
          </w:tcPr>
          <w:p w14:paraId="5BE0C77A" w14:textId="77777777" w:rsidR="009107A1" w:rsidRPr="00A3772D" w:rsidRDefault="009107A1" w:rsidP="00A3772D">
            <w:pPr>
              <w:ind w:firstLineChars="0" w:firstLine="0"/>
              <w:jc w:val="left"/>
              <w:rPr>
                <w:rFonts w:ascii="宋体" w:hAnsi="宋体"/>
                <w:bCs/>
                <w:szCs w:val="21"/>
              </w:rPr>
            </w:pPr>
            <w:r w:rsidRPr="00A3772D">
              <w:rPr>
                <w:rFonts w:ascii="宋体" w:hAnsi="宋体"/>
                <w:bCs/>
                <w:szCs w:val="21"/>
              </w:rPr>
              <w:t>褐煤</w:t>
            </w:r>
          </w:p>
        </w:tc>
        <w:tc>
          <w:tcPr>
            <w:tcW w:w="1134" w:type="dxa"/>
            <w:vAlign w:val="center"/>
          </w:tcPr>
          <w:p w14:paraId="595168E3" w14:textId="77777777" w:rsidR="009107A1" w:rsidRPr="00A3772D" w:rsidRDefault="009107A1" w:rsidP="00A3772D">
            <w:pPr>
              <w:ind w:firstLineChars="0" w:firstLine="0"/>
              <w:jc w:val="left"/>
              <w:rPr>
                <w:rFonts w:ascii="宋体" w:hAnsi="宋体"/>
                <w:bCs/>
                <w:szCs w:val="21"/>
              </w:rPr>
            </w:pPr>
            <w:r w:rsidRPr="00A3772D">
              <w:rPr>
                <w:rFonts w:ascii="宋体" w:hAnsi="宋体"/>
                <w:bCs/>
                <w:szCs w:val="21"/>
              </w:rPr>
              <w:t>t</w:t>
            </w:r>
          </w:p>
        </w:tc>
        <w:tc>
          <w:tcPr>
            <w:tcW w:w="2268" w:type="dxa"/>
            <w:vAlign w:val="center"/>
          </w:tcPr>
          <w:p w14:paraId="2331B6F1" w14:textId="77777777" w:rsidR="009107A1" w:rsidRPr="00A3772D" w:rsidRDefault="009107A1" w:rsidP="00A3772D">
            <w:pPr>
              <w:ind w:firstLineChars="0" w:firstLine="0"/>
              <w:jc w:val="left"/>
              <w:rPr>
                <w:rFonts w:ascii="宋体" w:hAnsi="宋体"/>
                <w:szCs w:val="21"/>
              </w:rPr>
            </w:pPr>
            <w:r w:rsidRPr="00A3772D">
              <w:rPr>
                <w:rFonts w:ascii="宋体" w:hAnsi="宋体"/>
                <w:szCs w:val="21"/>
              </w:rPr>
              <w:t>11.9</w:t>
            </w:r>
            <w:r w:rsidRPr="00A3772D">
              <w:rPr>
                <w:rFonts w:ascii="宋体" w:hAnsi="宋体"/>
                <w:szCs w:val="21"/>
                <w:vertAlign w:val="superscript"/>
              </w:rPr>
              <w:t xml:space="preserve"> c</w:t>
            </w:r>
          </w:p>
        </w:tc>
        <w:tc>
          <w:tcPr>
            <w:tcW w:w="1843" w:type="dxa"/>
            <w:vAlign w:val="center"/>
          </w:tcPr>
          <w:p w14:paraId="4543F34C" w14:textId="77777777" w:rsidR="009107A1" w:rsidRPr="00A3772D" w:rsidRDefault="009107A1" w:rsidP="00A3772D">
            <w:pPr>
              <w:ind w:firstLineChars="0" w:firstLine="0"/>
              <w:jc w:val="left"/>
              <w:rPr>
                <w:rFonts w:ascii="宋体" w:hAnsi="宋体"/>
                <w:szCs w:val="21"/>
              </w:rPr>
            </w:pPr>
            <w:r w:rsidRPr="00A3772D">
              <w:rPr>
                <w:rFonts w:ascii="宋体" w:hAnsi="宋体"/>
                <w:szCs w:val="21"/>
              </w:rPr>
              <w:t>28</w:t>
            </w:r>
            <w:r w:rsidRPr="00A3772D">
              <w:rPr>
                <w:rFonts w:ascii="宋体" w:hAnsi="宋体"/>
                <w:szCs w:val="21"/>
                <w:vertAlign w:val="superscript"/>
              </w:rPr>
              <w:t>b</w:t>
            </w:r>
            <w:r w:rsidRPr="00A3772D">
              <w:rPr>
                <w:rFonts w:ascii="宋体" w:hAnsi="宋体"/>
                <w:szCs w:val="21"/>
              </w:rPr>
              <w:t>×10</w:t>
            </w:r>
            <w:r w:rsidRPr="00A3772D">
              <w:rPr>
                <w:rFonts w:ascii="宋体" w:hAnsi="宋体"/>
                <w:szCs w:val="21"/>
                <w:vertAlign w:val="superscript"/>
              </w:rPr>
              <w:t>-3</w:t>
            </w:r>
          </w:p>
        </w:tc>
        <w:tc>
          <w:tcPr>
            <w:tcW w:w="604" w:type="dxa"/>
            <w:vAlign w:val="center"/>
          </w:tcPr>
          <w:p w14:paraId="5AD989D8" w14:textId="77777777" w:rsidR="009107A1" w:rsidRPr="00A3772D" w:rsidRDefault="009107A1" w:rsidP="00A3772D">
            <w:pPr>
              <w:ind w:firstLineChars="0" w:firstLine="0"/>
              <w:jc w:val="left"/>
              <w:rPr>
                <w:rFonts w:ascii="宋体" w:hAnsi="宋体"/>
                <w:bCs/>
                <w:szCs w:val="21"/>
              </w:rPr>
            </w:pPr>
            <w:r w:rsidRPr="00A3772D">
              <w:rPr>
                <w:rFonts w:ascii="宋体" w:hAnsi="宋体"/>
                <w:color w:val="000000"/>
                <w:szCs w:val="21"/>
              </w:rPr>
              <w:t>96</w:t>
            </w:r>
            <w:r w:rsidRPr="00A3772D">
              <w:rPr>
                <w:rFonts w:ascii="宋体" w:hAnsi="宋体"/>
                <w:szCs w:val="21"/>
                <w:vertAlign w:val="superscript"/>
              </w:rPr>
              <w:t xml:space="preserve"> b</w:t>
            </w:r>
          </w:p>
        </w:tc>
        <w:tc>
          <w:tcPr>
            <w:tcW w:w="1380" w:type="dxa"/>
            <w:vMerge/>
            <w:vAlign w:val="center"/>
          </w:tcPr>
          <w:p w14:paraId="6689F823" w14:textId="77777777" w:rsidR="009107A1" w:rsidRPr="00A3772D" w:rsidRDefault="009107A1" w:rsidP="00A3772D">
            <w:pPr>
              <w:ind w:firstLineChars="0" w:firstLine="0"/>
              <w:jc w:val="left"/>
              <w:rPr>
                <w:rFonts w:ascii="宋体" w:hAnsi="宋体"/>
                <w:color w:val="000000"/>
                <w:szCs w:val="21"/>
              </w:rPr>
            </w:pPr>
          </w:p>
        </w:tc>
      </w:tr>
      <w:tr w:rsidR="009107A1" w:rsidRPr="00A3772D" w14:paraId="68FACB0E" w14:textId="77777777" w:rsidTr="00F85C56">
        <w:trPr>
          <w:trHeight w:val="397"/>
          <w:jc w:val="center"/>
        </w:trPr>
        <w:tc>
          <w:tcPr>
            <w:tcW w:w="501" w:type="dxa"/>
            <w:vMerge/>
            <w:vAlign w:val="center"/>
          </w:tcPr>
          <w:p w14:paraId="08263873" w14:textId="77777777" w:rsidR="009107A1" w:rsidRPr="00A3772D" w:rsidRDefault="009107A1" w:rsidP="00A3772D">
            <w:pPr>
              <w:ind w:firstLineChars="0" w:firstLine="0"/>
              <w:jc w:val="left"/>
              <w:rPr>
                <w:rFonts w:ascii="宋体" w:hAnsi="宋体"/>
                <w:bCs/>
                <w:szCs w:val="21"/>
              </w:rPr>
            </w:pPr>
          </w:p>
        </w:tc>
        <w:tc>
          <w:tcPr>
            <w:tcW w:w="1667" w:type="dxa"/>
            <w:vAlign w:val="center"/>
          </w:tcPr>
          <w:p w14:paraId="3D504827" w14:textId="77777777" w:rsidR="009107A1" w:rsidRPr="00A3772D" w:rsidRDefault="009107A1" w:rsidP="00A3772D">
            <w:pPr>
              <w:ind w:firstLineChars="0" w:firstLine="0"/>
              <w:jc w:val="left"/>
              <w:rPr>
                <w:rFonts w:ascii="宋体" w:hAnsi="宋体"/>
                <w:bCs/>
                <w:szCs w:val="21"/>
              </w:rPr>
            </w:pPr>
            <w:r w:rsidRPr="00A3772D">
              <w:rPr>
                <w:rFonts w:ascii="宋体" w:hAnsi="宋体"/>
                <w:bCs/>
                <w:szCs w:val="21"/>
              </w:rPr>
              <w:t>型煤</w:t>
            </w:r>
          </w:p>
        </w:tc>
        <w:tc>
          <w:tcPr>
            <w:tcW w:w="1134" w:type="dxa"/>
            <w:vAlign w:val="center"/>
          </w:tcPr>
          <w:p w14:paraId="4BECD8BC" w14:textId="77777777" w:rsidR="009107A1" w:rsidRPr="00A3772D" w:rsidRDefault="009107A1" w:rsidP="00A3772D">
            <w:pPr>
              <w:ind w:firstLineChars="0" w:firstLine="0"/>
              <w:jc w:val="left"/>
              <w:rPr>
                <w:rFonts w:ascii="宋体" w:hAnsi="宋体"/>
                <w:bCs/>
                <w:szCs w:val="21"/>
              </w:rPr>
            </w:pPr>
            <w:r w:rsidRPr="00A3772D">
              <w:rPr>
                <w:rFonts w:ascii="宋体" w:hAnsi="宋体"/>
                <w:bCs/>
                <w:szCs w:val="21"/>
              </w:rPr>
              <w:t>t</w:t>
            </w:r>
          </w:p>
        </w:tc>
        <w:tc>
          <w:tcPr>
            <w:tcW w:w="2268" w:type="dxa"/>
            <w:vAlign w:val="center"/>
          </w:tcPr>
          <w:p w14:paraId="58437299" w14:textId="77777777" w:rsidR="009107A1" w:rsidRPr="00A3772D" w:rsidRDefault="009107A1" w:rsidP="00A3772D">
            <w:pPr>
              <w:pStyle w:val="Default"/>
              <w:rPr>
                <w:rFonts w:ascii="宋体" w:hAnsi="宋体"/>
                <w:sz w:val="21"/>
                <w:szCs w:val="21"/>
              </w:rPr>
            </w:pPr>
            <w:r w:rsidRPr="00A3772D">
              <w:rPr>
                <w:rFonts w:ascii="宋体" w:hAnsi="宋体"/>
                <w:sz w:val="21"/>
                <w:szCs w:val="21"/>
              </w:rPr>
              <w:t>17.460</w:t>
            </w:r>
            <w:r w:rsidRPr="00A3772D">
              <w:rPr>
                <w:rFonts w:ascii="宋体" w:hAnsi="宋体"/>
                <w:sz w:val="21"/>
                <w:szCs w:val="21"/>
                <w:vertAlign w:val="superscript"/>
              </w:rPr>
              <w:t xml:space="preserve"> d</w:t>
            </w:r>
          </w:p>
        </w:tc>
        <w:tc>
          <w:tcPr>
            <w:tcW w:w="1843" w:type="dxa"/>
            <w:vAlign w:val="center"/>
          </w:tcPr>
          <w:p w14:paraId="2E902A4E" w14:textId="77777777" w:rsidR="009107A1" w:rsidRPr="00A3772D" w:rsidRDefault="009107A1" w:rsidP="00A3772D">
            <w:pPr>
              <w:ind w:firstLineChars="0" w:firstLine="0"/>
              <w:jc w:val="left"/>
              <w:rPr>
                <w:rFonts w:ascii="宋体" w:hAnsi="宋体"/>
                <w:szCs w:val="21"/>
              </w:rPr>
            </w:pPr>
            <w:r w:rsidRPr="00A3772D">
              <w:rPr>
                <w:rFonts w:ascii="宋体" w:hAnsi="宋体"/>
                <w:szCs w:val="21"/>
              </w:rPr>
              <w:t>33.6</w:t>
            </w:r>
            <w:r w:rsidRPr="00A3772D">
              <w:rPr>
                <w:rFonts w:ascii="宋体" w:hAnsi="宋体"/>
                <w:szCs w:val="21"/>
                <w:vertAlign w:val="superscript"/>
              </w:rPr>
              <w:t>b</w:t>
            </w:r>
            <w:r w:rsidRPr="00A3772D">
              <w:rPr>
                <w:rFonts w:ascii="宋体" w:hAnsi="宋体"/>
                <w:szCs w:val="21"/>
              </w:rPr>
              <w:t>×10</w:t>
            </w:r>
            <w:r w:rsidRPr="00A3772D">
              <w:rPr>
                <w:rFonts w:ascii="宋体" w:hAnsi="宋体"/>
                <w:szCs w:val="21"/>
                <w:vertAlign w:val="superscript"/>
              </w:rPr>
              <w:t>-3</w:t>
            </w:r>
          </w:p>
        </w:tc>
        <w:tc>
          <w:tcPr>
            <w:tcW w:w="1984" w:type="dxa"/>
            <w:gridSpan w:val="2"/>
            <w:vAlign w:val="center"/>
          </w:tcPr>
          <w:p w14:paraId="6BB3BA31" w14:textId="77777777" w:rsidR="009107A1" w:rsidRPr="00A3772D" w:rsidRDefault="009107A1" w:rsidP="00A3772D">
            <w:pPr>
              <w:ind w:firstLineChars="0" w:firstLine="0"/>
              <w:jc w:val="left"/>
              <w:rPr>
                <w:rFonts w:ascii="宋体" w:hAnsi="宋体"/>
                <w:szCs w:val="21"/>
              </w:rPr>
            </w:pPr>
            <w:r w:rsidRPr="00A3772D">
              <w:rPr>
                <w:rFonts w:ascii="宋体" w:hAnsi="宋体"/>
                <w:szCs w:val="21"/>
              </w:rPr>
              <w:t>90</w:t>
            </w:r>
            <w:r w:rsidRPr="00A3772D">
              <w:rPr>
                <w:rFonts w:ascii="宋体" w:hAnsi="宋体"/>
                <w:szCs w:val="21"/>
                <w:vertAlign w:val="superscript"/>
              </w:rPr>
              <w:t xml:space="preserve"> b</w:t>
            </w:r>
          </w:p>
        </w:tc>
      </w:tr>
      <w:tr w:rsidR="009107A1" w:rsidRPr="00A3772D" w14:paraId="795FC429" w14:textId="77777777" w:rsidTr="00F85C56">
        <w:trPr>
          <w:trHeight w:val="397"/>
          <w:jc w:val="center"/>
        </w:trPr>
        <w:tc>
          <w:tcPr>
            <w:tcW w:w="501" w:type="dxa"/>
            <w:vMerge/>
            <w:vAlign w:val="center"/>
          </w:tcPr>
          <w:p w14:paraId="784CCF98" w14:textId="77777777" w:rsidR="009107A1" w:rsidRPr="00A3772D" w:rsidRDefault="009107A1" w:rsidP="00A3772D">
            <w:pPr>
              <w:ind w:firstLineChars="0" w:firstLine="0"/>
              <w:jc w:val="left"/>
              <w:rPr>
                <w:rFonts w:ascii="宋体" w:hAnsi="宋体"/>
                <w:bCs/>
                <w:szCs w:val="21"/>
              </w:rPr>
            </w:pPr>
          </w:p>
        </w:tc>
        <w:tc>
          <w:tcPr>
            <w:tcW w:w="1667" w:type="dxa"/>
            <w:vAlign w:val="center"/>
          </w:tcPr>
          <w:p w14:paraId="35C4EF8F" w14:textId="77777777" w:rsidR="009107A1" w:rsidRPr="00A3772D" w:rsidRDefault="009107A1" w:rsidP="00A3772D">
            <w:pPr>
              <w:ind w:firstLineChars="0" w:firstLine="0"/>
              <w:jc w:val="left"/>
              <w:rPr>
                <w:rFonts w:ascii="宋体" w:hAnsi="宋体"/>
                <w:bCs/>
                <w:szCs w:val="21"/>
              </w:rPr>
            </w:pPr>
            <w:r w:rsidRPr="00A3772D">
              <w:rPr>
                <w:rFonts w:ascii="宋体" w:hAnsi="宋体"/>
                <w:bCs/>
                <w:szCs w:val="21"/>
              </w:rPr>
              <w:t>洗精煤</w:t>
            </w:r>
          </w:p>
        </w:tc>
        <w:tc>
          <w:tcPr>
            <w:tcW w:w="1134" w:type="dxa"/>
            <w:vAlign w:val="center"/>
          </w:tcPr>
          <w:p w14:paraId="5F2705CF" w14:textId="77777777" w:rsidR="009107A1" w:rsidRPr="00A3772D" w:rsidRDefault="009107A1" w:rsidP="00A3772D">
            <w:pPr>
              <w:ind w:firstLineChars="0" w:firstLine="0"/>
              <w:jc w:val="left"/>
              <w:rPr>
                <w:rFonts w:ascii="宋体" w:hAnsi="宋体"/>
                <w:bCs/>
                <w:szCs w:val="21"/>
              </w:rPr>
            </w:pPr>
            <w:r w:rsidRPr="00A3772D">
              <w:rPr>
                <w:rFonts w:ascii="宋体" w:hAnsi="宋体"/>
                <w:bCs/>
                <w:szCs w:val="21"/>
              </w:rPr>
              <w:t>t</w:t>
            </w:r>
          </w:p>
        </w:tc>
        <w:tc>
          <w:tcPr>
            <w:tcW w:w="2268" w:type="dxa"/>
            <w:vAlign w:val="center"/>
          </w:tcPr>
          <w:p w14:paraId="7716AD43" w14:textId="77777777" w:rsidR="009107A1" w:rsidRPr="00A3772D" w:rsidRDefault="009107A1" w:rsidP="00A3772D">
            <w:pPr>
              <w:ind w:firstLineChars="0" w:firstLine="0"/>
              <w:jc w:val="left"/>
              <w:rPr>
                <w:rFonts w:ascii="宋体" w:hAnsi="宋体"/>
                <w:szCs w:val="21"/>
              </w:rPr>
            </w:pPr>
            <w:r w:rsidRPr="00A3772D">
              <w:rPr>
                <w:rFonts w:ascii="宋体" w:hAnsi="宋体"/>
                <w:szCs w:val="21"/>
              </w:rPr>
              <w:t xml:space="preserve">26.334 </w:t>
            </w:r>
            <w:r w:rsidRPr="00A3772D">
              <w:rPr>
                <w:rFonts w:ascii="宋体" w:hAnsi="宋体"/>
                <w:szCs w:val="21"/>
                <w:vertAlign w:val="superscript"/>
              </w:rPr>
              <w:t>a</w:t>
            </w:r>
          </w:p>
        </w:tc>
        <w:tc>
          <w:tcPr>
            <w:tcW w:w="1843" w:type="dxa"/>
            <w:vAlign w:val="center"/>
          </w:tcPr>
          <w:p w14:paraId="3C01E617" w14:textId="77777777" w:rsidR="009107A1" w:rsidRPr="00A3772D" w:rsidRDefault="009107A1" w:rsidP="00A3772D">
            <w:pPr>
              <w:ind w:firstLineChars="0" w:firstLine="0"/>
              <w:jc w:val="left"/>
              <w:rPr>
                <w:rFonts w:ascii="宋体" w:hAnsi="宋体"/>
                <w:szCs w:val="21"/>
              </w:rPr>
            </w:pPr>
            <w:r w:rsidRPr="00A3772D">
              <w:rPr>
                <w:rFonts w:ascii="宋体" w:hAnsi="宋体"/>
                <w:szCs w:val="21"/>
              </w:rPr>
              <w:t>25.41</w:t>
            </w:r>
            <w:r w:rsidRPr="00A3772D">
              <w:rPr>
                <w:rFonts w:ascii="宋体" w:hAnsi="宋体"/>
                <w:szCs w:val="21"/>
                <w:vertAlign w:val="superscript"/>
              </w:rPr>
              <w:t>b</w:t>
            </w:r>
            <w:r w:rsidRPr="00A3772D">
              <w:rPr>
                <w:rFonts w:ascii="宋体" w:hAnsi="宋体"/>
                <w:szCs w:val="21"/>
              </w:rPr>
              <w:t>×10</w:t>
            </w:r>
            <w:r w:rsidRPr="00A3772D">
              <w:rPr>
                <w:rFonts w:ascii="宋体" w:hAnsi="宋体"/>
                <w:szCs w:val="21"/>
                <w:vertAlign w:val="superscript"/>
              </w:rPr>
              <w:t>-3</w:t>
            </w:r>
          </w:p>
        </w:tc>
        <w:tc>
          <w:tcPr>
            <w:tcW w:w="1984" w:type="dxa"/>
            <w:gridSpan w:val="2"/>
            <w:vAlign w:val="center"/>
          </w:tcPr>
          <w:p w14:paraId="2FE4D8D9" w14:textId="77777777" w:rsidR="009107A1" w:rsidRPr="00A3772D" w:rsidRDefault="009107A1" w:rsidP="00A3772D">
            <w:pPr>
              <w:ind w:firstLineChars="0" w:firstLine="0"/>
              <w:jc w:val="left"/>
              <w:rPr>
                <w:rFonts w:ascii="宋体" w:hAnsi="宋体"/>
                <w:color w:val="000000"/>
                <w:szCs w:val="21"/>
              </w:rPr>
            </w:pPr>
            <w:r w:rsidRPr="00A3772D">
              <w:rPr>
                <w:rFonts w:ascii="宋体" w:hAnsi="宋体"/>
                <w:color w:val="000000"/>
                <w:szCs w:val="21"/>
              </w:rPr>
              <w:t>90</w:t>
            </w:r>
            <w:r w:rsidRPr="00A3772D">
              <w:rPr>
                <w:rFonts w:ascii="宋体" w:hAnsi="宋体"/>
                <w:szCs w:val="21"/>
                <w:vertAlign w:val="superscript"/>
              </w:rPr>
              <w:t xml:space="preserve"> d</w:t>
            </w:r>
          </w:p>
        </w:tc>
      </w:tr>
      <w:tr w:rsidR="009107A1" w:rsidRPr="00A3772D" w14:paraId="55111A1F" w14:textId="77777777" w:rsidTr="00F85C56">
        <w:trPr>
          <w:trHeight w:val="397"/>
          <w:jc w:val="center"/>
        </w:trPr>
        <w:tc>
          <w:tcPr>
            <w:tcW w:w="501" w:type="dxa"/>
            <w:vMerge/>
            <w:vAlign w:val="center"/>
          </w:tcPr>
          <w:p w14:paraId="0FB0EEB1" w14:textId="77777777" w:rsidR="009107A1" w:rsidRPr="00A3772D" w:rsidRDefault="009107A1" w:rsidP="00A3772D">
            <w:pPr>
              <w:ind w:firstLineChars="0" w:firstLine="0"/>
              <w:jc w:val="left"/>
              <w:rPr>
                <w:rFonts w:ascii="宋体" w:hAnsi="宋体"/>
                <w:bCs/>
                <w:szCs w:val="21"/>
              </w:rPr>
            </w:pPr>
          </w:p>
        </w:tc>
        <w:tc>
          <w:tcPr>
            <w:tcW w:w="1667" w:type="dxa"/>
            <w:vAlign w:val="center"/>
          </w:tcPr>
          <w:p w14:paraId="11C1AA29" w14:textId="77777777" w:rsidR="009107A1" w:rsidRPr="00A3772D" w:rsidRDefault="009107A1" w:rsidP="00A3772D">
            <w:pPr>
              <w:ind w:firstLineChars="0" w:firstLine="0"/>
              <w:jc w:val="left"/>
              <w:rPr>
                <w:rFonts w:ascii="宋体" w:hAnsi="宋体"/>
                <w:bCs/>
                <w:szCs w:val="21"/>
              </w:rPr>
            </w:pPr>
            <w:r w:rsidRPr="00A3772D">
              <w:rPr>
                <w:rFonts w:ascii="宋体" w:hAnsi="宋体"/>
                <w:bCs/>
                <w:szCs w:val="21"/>
              </w:rPr>
              <w:t>焦炭</w:t>
            </w:r>
          </w:p>
        </w:tc>
        <w:tc>
          <w:tcPr>
            <w:tcW w:w="1134" w:type="dxa"/>
            <w:vAlign w:val="center"/>
          </w:tcPr>
          <w:p w14:paraId="4DA9A0AA" w14:textId="77777777" w:rsidR="009107A1" w:rsidRPr="00A3772D" w:rsidRDefault="009107A1" w:rsidP="00A3772D">
            <w:pPr>
              <w:ind w:firstLineChars="0" w:firstLine="0"/>
              <w:jc w:val="left"/>
              <w:rPr>
                <w:rFonts w:ascii="宋体" w:hAnsi="宋体"/>
                <w:bCs/>
                <w:szCs w:val="21"/>
              </w:rPr>
            </w:pPr>
            <w:r w:rsidRPr="00A3772D">
              <w:rPr>
                <w:rFonts w:ascii="宋体" w:hAnsi="宋体"/>
                <w:bCs/>
                <w:szCs w:val="21"/>
              </w:rPr>
              <w:t>t</w:t>
            </w:r>
          </w:p>
        </w:tc>
        <w:tc>
          <w:tcPr>
            <w:tcW w:w="2268" w:type="dxa"/>
            <w:vAlign w:val="center"/>
          </w:tcPr>
          <w:p w14:paraId="7F857551" w14:textId="77777777" w:rsidR="009107A1" w:rsidRPr="00A3772D" w:rsidRDefault="009107A1" w:rsidP="00A3772D">
            <w:pPr>
              <w:ind w:firstLineChars="0" w:firstLine="0"/>
              <w:jc w:val="left"/>
              <w:rPr>
                <w:rFonts w:ascii="宋体" w:hAnsi="宋体"/>
                <w:szCs w:val="21"/>
              </w:rPr>
            </w:pPr>
            <w:r w:rsidRPr="00A3772D">
              <w:rPr>
                <w:rFonts w:ascii="宋体" w:hAnsi="宋体"/>
                <w:szCs w:val="21"/>
              </w:rPr>
              <w:t>28.435</w:t>
            </w:r>
            <w:r w:rsidRPr="00A3772D">
              <w:rPr>
                <w:rFonts w:ascii="宋体" w:hAnsi="宋体"/>
                <w:szCs w:val="21"/>
                <w:vertAlign w:val="superscript"/>
              </w:rPr>
              <w:t xml:space="preserve"> a</w:t>
            </w:r>
          </w:p>
        </w:tc>
        <w:tc>
          <w:tcPr>
            <w:tcW w:w="1843" w:type="dxa"/>
            <w:vAlign w:val="center"/>
          </w:tcPr>
          <w:p w14:paraId="3DF2A348" w14:textId="77777777" w:rsidR="009107A1" w:rsidRPr="00A3772D" w:rsidRDefault="009107A1" w:rsidP="00A3772D">
            <w:pPr>
              <w:ind w:firstLineChars="0" w:firstLine="0"/>
              <w:jc w:val="left"/>
              <w:rPr>
                <w:rFonts w:ascii="宋体" w:hAnsi="宋体"/>
                <w:szCs w:val="21"/>
              </w:rPr>
            </w:pPr>
            <w:r w:rsidRPr="00A3772D">
              <w:rPr>
                <w:rFonts w:ascii="宋体" w:hAnsi="宋体"/>
                <w:szCs w:val="21"/>
              </w:rPr>
              <w:t>29.5</w:t>
            </w:r>
            <w:r w:rsidRPr="00A3772D">
              <w:rPr>
                <w:rFonts w:ascii="宋体" w:hAnsi="宋体"/>
                <w:szCs w:val="21"/>
                <w:vertAlign w:val="superscript"/>
              </w:rPr>
              <w:t>b</w:t>
            </w:r>
            <w:r w:rsidRPr="00A3772D">
              <w:rPr>
                <w:rFonts w:ascii="宋体" w:hAnsi="宋体"/>
                <w:szCs w:val="21"/>
              </w:rPr>
              <w:t>×10</w:t>
            </w:r>
            <w:r w:rsidRPr="00A3772D">
              <w:rPr>
                <w:rFonts w:ascii="宋体" w:hAnsi="宋体"/>
                <w:szCs w:val="21"/>
                <w:vertAlign w:val="superscript"/>
              </w:rPr>
              <w:t>-3</w:t>
            </w:r>
          </w:p>
        </w:tc>
        <w:tc>
          <w:tcPr>
            <w:tcW w:w="1984" w:type="dxa"/>
            <w:gridSpan w:val="2"/>
            <w:vAlign w:val="center"/>
          </w:tcPr>
          <w:p w14:paraId="206EC891" w14:textId="77777777" w:rsidR="009107A1" w:rsidRPr="00A3772D" w:rsidRDefault="009107A1" w:rsidP="00A3772D">
            <w:pPr>
              <w:ind w:firstLineChars="0" w:firstLine="0"/>
              <w:jc w:val="left"/>
              <w:rPr>
                <w:rFonts w:ascii="宋体" w:hAnsi="宋体"/>
                <w:szCs w:val="21"/>
              </w:rPr>
            </w:pPr>
            <w:r w:rsidRPr="00A3772D">
              <w:rPr>
                <w:rFonts w:ascii="宋体" w:hAnsi="宋体"/>
                <w:szCs w:val="21"/>
              </w:rPr>
              <w:t>93</w:t>
            </w:r>
            <w:r w:rsidRPr="00A3772D">
              <w:rPr>
                <w:rFonts w:ascii="宋体" w:hAnsi="宋体"/>
                <w:szCs w:val="21"/>
                <w:vertAlign w:val="superscript"/>
              </w:rPr>
              <w:t xml:space="preserve"> b</w:t>
            </w:r>
          </w:p>
        </w:tc>
      </w:tr>
      <w:tr w:rsidR="00A3772D" w:rsidRPr="00A3772D" w14:paraId="0CBF1CEC" w14:textId="77777777" w:rsidTr="00F85C56">
        <w:trPr>
          <w:trHeight w:val="397"/>
          <w:jc w:val="center"/>
        </w:trPr>
        <w:tc>
          <w:tcPr>
            <w:tcW w:w="501" w:type="dxa"/>
            <w:vMerge w:val="restart"/>
            <w:vAlign w:val="center"/>
          </w:tcPr>
          <w:p w14:paraId="6CCA8A0E" w14:textId="77777777" w:rsidR="00A3772D" w:rsidRPr="00A3772D" w:rsidRDefault="00A3772D" w:rsidP="00A3772D">
            <w:pPr>
              <w:ind w:firstLineChars="0" w:firstLine="0"/>
              <w:jc w:val="left"/>
              <w:rPr>
                <w:rFonts w:ascii="宋体" w:hAnsi="宋体"/>
                <w:bCs/>
                <w:szCs w:val="21"/>
              </w:rPr>
            </w:pPr>
            <w:r w:rsidRPr="00A3772D">
              <w:rPr>
                <w:rFonts w:ascii="宋体" w:hAnsi="宋体" w:hint="eastAsia"/>
                <w:bCs/>
                <w:szCs w:val="21"/>
              </w:rPr>
              <w:t>液</w:t>
            </w:r>
          </w:p>
          <w:p w14:paraId="311F3DE9" w14:textId="77777777" w:rsidR="00A3772D" w:rsidRPr="00A3772D" w:rsidRDefault="00A3772D" w:rsidP="00A3772D">
            <w:pPr>
              <w:ind w:firstLineChars="0" w:firstLine="0"/>
              <w:jc w:val="left"/>
              <w:rPr>
                <w:rFonts w:ascii="宋体" w:hAnsi="宋体"/>
                <w:bCs/>
                <w:szCs w:val="21"/>
              </w:rPr>
            </w:pPr>
            <w:r w:rsidRPr="00A3772D">
              <w:rPr>
                <w:rFonts w:ascii="宋体" w:hAnsi="宋体" w:hint="eastAsia"/>
                <w:bCs/>
                <w:szCs w:val="21"/>
              </w:rPr>
              <w:t>体</w:t>
            </w:r>
          </w:p>
          <w:p w14:paraId="1696F32E" w14:textId="77777777" w:rsidR="00A3772D" w:rsidRPr="00A3772D" w:rsidRDefault="00A3772D" w:rsidP="00A3772D">
            <w:pPr>
              <w:ind w:firstLineChars="0" w:firstLine="0"/>
              <w:jc w:val="left"/>
              <w:rPr>
                <w:rFonts w:ascii="宋体" w:hAnsi="宋体"/>
                <w:bCs/>
                <w:szCs w:val="21"/>
              </w:rPr>
            </w:pPr>
            <w:r w:rsidRPr="00A3772D">
              <w:rPr>
                <w:rFonts w:ascii="宋体" w:hAnsi="宋体" w:hint="eastAsia"/>
                <w:bCs/>
                <w:szCs w:val="21"/>
              </w:rPr>
              <w:t>燃</w:t>
            </w:r>
          </w:p>
          <w:p w14:paraId="52DDAC18" w14:textId="37FBF5E4" w:rsidR="00A3772D" w:rsidRPr="00A3772D" w:rsidRDefault="00A3772D" w:rsidP="00A3772D">
            <w:pPr>
              <w:ind w:firstLineChars="0" w:firstLine="0"/>
              <w:jc w:val="left"/>
              <w:rPr>
                <w:rFonts w:ascii="宋体" w:hAnsi="宋体"/>
                <w:bCs/>
                <w:szCs w:val="21"/>
              </w:rPr>
            </w:pPr>
            <w:r w:rsidRPr="00A3772D">
              <w:rPr>
                <w:rFonts w:ascii="宋体" w:hAnsi="宋体" w:hint="eastAsia"/>
                <w:bCs/>
                <w:szCs w:val="21"/>
              </w:rPr>
              <w:t>料</w:t>
            </w:r>
          </w:p>
        </w:tc>
        <w:tc>
          <w:tcPr>
            <w:tcW w:w="1667" w:type="dxa"/>
            <w:vAlign w:val="center"/>
          </w:tcPr>
          <w:p w14:paraId="1D1FF527" w14:textId="77777777" w:rsidR="00A3772D" w:rsidRPr="00A3772D" w:rsidRDefault="00A3772D" w:rsidP="00A3772D">
            <w:pPr>
              <w:ind w:firstLineChars="0" w:firstLine="0"/>
              <w:jc w:val="left"/>
              <w:rPr>
                <w:rFonts w:ascii="宋体" w:hAnsi="宋体"/>
                <w:bCs/>
                <w:szCs w:val="21"/>
              </w:rPr>
            </w:pPr>
            <w:r w:rsidRPr="00A3772D">
              <w:rPr>
                <w:rFonts w:ascii="宋体" w:hAnsi="宋体"/>
                <w:bCs/>
                <w:szCs w:val="21"/>
              </w:rPr>
              <w:t>原油</w:t>
            </w:r>
          </w:p>
        </w:tc>
        <w:tc>
          <w:tcPr>
            <w:tcW w:w="1134" w:type="dxa"/>
            <w:vAlign w:val="center"/>
          </w:tcPr>
          <w:p w14:paraId="6E0CAA3D" w14:textId="77777777" w:rsidR="00A3772D" w:rsidRPr="00A3772D" w:rsidRDefault="00A3772D" w:rsidP="00A3772D">
            <w:pPr>
              <w:ind w:firstLineChars="0" w:firstLine="0"/>
              <w:jc w:val="left"/>
              <w:rPr>
                <w:rFonts w:ascii="宋体" w:hAnsi="宋体"/>
                <w:bCs/>
                <w:szCs w:val="21"/>
              </w:rPr>
            </w:pPr>
            <w:r w:rsidRPr="00A3772D">
              <w:rPr>
                <w:rFonts w:ascii="宋体" w:hAnsi="宋体"/>
                <w:bCs/>
                <w:szCs w:val="21"/>
              </w:rPr>
              <w:t>t</w:t>
            </w:r>
          </w:p>
        </w:tc>
        <w:tc>
          <w:tcPr>
            <w:tcW w:w="2268" w:type="dxa"/>
            <w:vAlign w:val="center"/>
          </w:tcPr>
          <w:p w14:paraId="76EBD487" w14:textId="77777777" w:rsidR="00A3772D" w:rsidRPr="00A3772D" w:rsidRDefault="00A3772D" w:rsidP="00A3772D">
            <w:pPr>
              <w:pStyle w:val="Default"/>
              <w:rPr>
                <w:rFonts w:ascii="宋体" w:hAnsi="宋体"/>
                <w:sz w:val="21"/>
                <w:szCs w:val="21"/>
              </w:rPr>
            </w:pPr>
            <w:r w:rsidRPr="00A3772D">
              <w:rPr>
                <w:rFonts w:ascii="宋体" w:hAnsi="宋体"/>
                <w:sz w:val="21"/>
                <w:szCs w:val="21"/>
              </w:rPr>
              <w:t>41.816</w:t>
            </w:r>
            <w:r w:rsidRPr="00A3772D">
              <w:rPr>
                <w:rFonts w:ascii="宋体" w:hAnsi="宋体"/>
                <w:sz w:val="21"/>
                <w:szCs w:val="21"/>
                <w:vertAlign w:val="superscript"/>
              </w:rPr>
              <w:t xml:space="preserve"> a</w:t>
            </w:r>
          </w:p>
        </w:tc>
        <w:tc>
          <w:tcPr>
            <w:tcW w:w="1843" w:type="dxa"/>
            <w:vAlign w:val="center"/>
          </w:tcPr>
          <w:p w14:paraId="50452E50" w14:textId="77777777" w:rsidR="00A3772D" w:rsidRPr="00A3772D" w:rsidRDefault="00A3772D" w:rsidP="00A3772D">
            <w:pPr>
              <w:ind w:firstLineChars="0" w:firstLine="0"/>
              <w:jc w:val="left"/>
              <w:rPr>
                <w:rFonts w:ascii="宋体" w:hAnsi="宋体"/>
                <w:szCs w:val="21"/>
              </w:rPr>
            </w:pPr>
            <w:r w:rsidRPr="00A3772D">
              <w:rPr>
                <w:rFonts w:ascii="宋体" w:hAnsi="宋体"/>
                <w:szCs w:val="21"/>
              </w:rPr>
              <w:t>20.1</w:t>
            </w:r>
            <w:r w:rsidRPr="00A3772D">
              <w:rPr>
                <w:rFonts w:ascii="宋体" w:hAnsi="宋体"/>
                <w:szCs w:val="21"/>
                <w:vertAlign w:val="superscript"/>
              </w:rPr>
              <w:t>b</w:t>
            </w:r>
            <w:r w:rsidRPr="00A3772D">
              <w:rPr>
                <w:rFonts w:ascii="宋体" w:hAnsi="宋体"/>
                <w:szCs w:val="21"/>
              </w:rPr>
              <w:t>×10</w:t>
            </w:r>
            <w:r w:rsidRPr="00A3772D">
              <w:rPr>
                <w:rFonts w:ascii="宋体" w:hAnsi="宋体"/>
                <w:szCs w:val="21"/>
                <w:vertAlign w:val="superscript"/>
              </w:rPr>
              <w:t>-3</w:t>
            </w:r>
          </w:p>
        </w:tc>
        <w:tc>
          <w:tcPr>
            <w:tcW w:w="1984" w:type="dxa"/>
            <w:gridSpan w:val="2"/>
            <w:vAlign w:val="center"/>
          </w:tcPr>
          <w:p w14:paraId="090E82DD" w14:textId="77777777" w:rsidR="00A3772D" w:rsidRPr="00A3772D" w:rsidRDefault="00A3772D" w:rsidP="00A3772D">
            <w:pPr>
              <w:ind w:firstLineChars="0" w:firstLine="0"/>
              <w:jc w:val="left"/>
              <w:rPr>
                <w:rFonts w:ascii="宋体" w:hAnsi="宋体"/>
                <w:szCs w:val="21"/>
              </w:rPr>
            </w:pPr>
            <w:r w:rsidRPr="00A3772D">
              <w:rPr>
                <w:rFonts w:ascii="宋体" w:hAnsi="宋体"/>
                <w:szCs w:val="21"/>
              </w:rPr>
              <w:t>98</w:t>
            </w:r>
            <w:r w:rsidRPr="00A3772D">
              <w:rPr>
                <w:rFonts w:ascii="宋体" w:hAnsi="宋体"/>
                <w:szCs w:val="21"/>
                <w:vertAlign w:val="superscript"/>
              </w:rPr>
              <w:t xml:space="preserve"> b</w:t>
            </w:r>
          </w:p>
        </w:tc>
      </w:tr>
      <w:tr w:rsidR="00A3772D" w:rsidRPr="00A3772D" w14:paraId="31BE51D1" w14:textId="77777777" w:rsidTr="00F85C56">
        <w:trPr>
          <w:trHeight w:val="397"/>
          <w:jc w:val="center"/>
        </w:trPr>
        <w:tc>
          <w:tcPr>
            <w:tcW w:w="501" w:type="dxa"/>
            <w:vMerge/>
            <w:vAlign w:val="center"/>
          </w:tcPr>
          <w:p w14:paraId="1148ABA8" w14:textId="77777777" w:rsidR="00A3772D" w:rsidRPr="00A3772D" w:rsidRDefault="00A3772D" w:rsidP="00A3772D">
            <w:pPr>
              <w:ind w:firstLineChars="0" w:firstLine="0"/>
              <w:jc w:val="left"/>
              <w:rPr>
                <w:rFonts w:ascii="宋体" w:hAnsi="宋体"/>
                <w:bCs/>
                <w:szCs w:val="21"/>
              </w:rPr>
            </w:pPr>
          </w:p>
        </w:tc>
        <w:tc>
          <w:tcPr>
            <w:tcW w:w="1667" w:type="dxa"/>
            <w:vAlign w:val="center"/>
          </w:tcPr>
          <w:p w14:paraId="2BEE13F7" w14:textId="77777777" w:rsidR="00A3772D" w:rsidRPr="00A3772D" w:rsidRDefault="00A3772D" w:rsidP="00A3772D">
            <w:pPr>
              <w:ind w:firstLineChars="0" w:firstLine="0"/>
              <w:jc w:val="left"/>
              <w:rPr>
                <w:rFonts w:ascii="宋体" w:hAnsi="宋体"/>
                <w:bCs/>
                <w:szCs w:val="21"/>
              </w:rPr>
            </w:pPr>
            <w:r w:rsidRPr="00A3772D">
              <w:rPr>
                <w:rFonts w:ascii="宋体" w:hAnsi="宋体"/>
                <w:bCs/>
                <w:szCs w:val="21"/>
              </w:rPr>
              <w:t>汽油</w:t>
            </w:r>
          </w:p>
        </w:tc>
        <w:tc>
          <w:tcPr>
            <w:tcW w:w="1134" w:type="dxa"/>
            <w:vAlign w:val="center"/>
          </w:tcPr>
          <w:p w14:paraId="6780AC97" w14:textId="77777777" w:rsidR="00A3772D" w:rsidRPr="00A3772D" w:rsidRDefault="00A3772D" w:rsidP="00A3772D">
            <w:pPr>
              <w:ind w:firstLineChars="0" w:firstLine="0"/>
              <w:jc w:val="left"/>
              <w:rPr>
                <w:rFonts w:ascii="宋体" w:hAnsi="宋体"/>
                <w:bCs/>
                <w:szCs w:val="21"/>
              </w:rPr>
            </w:pPr>
            <w:r w:rsidRPr="00A3772D">
              <w:rPr>
                <w:rFonts w:ascii="宋体" w:hAnsi="宋体"/>
                <w:bCs/>
                <w:szCs w:val="21"/>
              </w:rPr>
              <w:t>t</w:t>
            </w:r>
          </w:p>
        </w:tc>
        <w:tc>
          <w:tcPr>
            <w:tcW w:w="2268" w:type="dxa"/>
            <w:vAlign w:val="center"/>
          </w:tcPr>
          <w:p w14:paraId="4E6A1018" w14:textId="77777777" w:rsidR="00A3772D" w:rsidRPr="00A3772D" w:rsidRDefault="00A3772D" w:rsidP="00A3772D">
            <w:pPr>
              <w:pStyle w:val="Default"/>
              <w:rPr>
                <w:rFonts w:ascii="宋体" w:hAnsi="宋体"/>
                <w:sz w:val="21"/>
                <w:szCs w:val="21"/>
              </w:rPr>
            </w:pPr>
            <w:r w:rsidRPr="00A3772D">
              <w:rPr>
                <w:rFonts w:ascii="宋体" w:hAnsi="宋体"/>
                <w:sz w:val="21"/>
                <w:szCs w:val="21"/>
              </w:rPr>
              <w:t>43.070</w:t>
            </w:r>
            <w:r w:rsidRPr="00A3772D">
              <w:rPr>
                <w:rFonts w:ascii="宋体" w:hAnsi="宋体"/>
                <w:sz w:val="21"/>
                <w:szCs w:val="21"/>
                <w:vertAlign w:val="superscript"/>
              </w:rPr>
              <w:t xml:space="preserve"> a</w:t>
            </w:r>
          </w:p>
        </w:tc>
        <w:tc>
          <w:tcPr>
            <w:tcW w:w="1843" w:type="dxa"/>
            <w:vAlign w:val="center"/>
          </w:tcPr>
          <w:p w14:paraId="55F8507E" w14:textId="77777777" w:rsidR="00A3772D" w:rsidRPr="00A3772D" w:rsidRDefault="00A3772D" w:rsidP="00A3772D">
            <w:pPr>
              <w:ind w:firstLineChars="0" w:firstLine="0"/>
              <w:jc w:val="left"/>
              <w:rPr>
                <w:rFonts w:ascii="宋体" w:hAnsi="宋体"/>
                <w:szCs w:val="21"/>
              </w:rPr>
            </w:pPr>
            <w:r w:rsidRPr="00A3772D">
              <w:rPr>
                <w:rFonts w:ascii="宋体" w:hAnsi="宋体"/>
                <w:szCs w:val="21"/>
              </w:rPr>
              <w:t>18.9</w:t>
            </w:r>
            <w:r w:rsidRPr="00A3772D">
              <w:rPr>
                <w:rFonts w:ascii="宋体" w:hAnsi="宋体"/>
                <w:szCs w:val="21"/>
                <w:vertAlign w:val="superscript"/>
              </w:rPr>
              <w:t>b</w:t>
            </w:r>
            <w:r w:rsidRPr="00A3772D">
              <w:rPr>
                <w:rFonts w:ascii="宋体" w:hAnsi="宋体"/>
                <w:szCs w:val="21"/>
              </w:rPr>
              <w:t>×10</w:t>
            </w:r>
            <w:r w:rsidRPr="00A3772D">
              <w:rPr>
                <w:rFonts w:ascii="宋体" w:hAnsi="宋体"/>
                <w:szCs w:val="21"/>
                <w:vertAlign w:val="superscript"/>
              </w:rPr>
              <w:t>-3</w:t>
            </w:r>
          </w:p>
        </w:tc>
        <w:tc>
          <w:tcPr>
            <w:tcW w:w="1984" w:type="dxa"/>
            <w:gridSpan w:val="2"/>
            <w:vAlign w:val="center"/>
          </w:tcPr>
          <w:p w14:paraId="3234E191" w14:textId="77777777" w:rsidR="00A3772D" w:rsidRPr="00A3772D" w:rsidRDefault="00A3772D" w:rsidP="00A3772D">
            <w:pPr>
              <w:ind w:firstLineChars="0" w:firstLine="0"/>
              <w:jc w:val="left"/>
              <w:rPr>
                <w:rFonts w:ascii="宋体" w:hAnsi="宋体"/>
                <w:szCs w:val="21"/>
              </w:rPr>
            </w:pPr>
            <w:r w:rsidRPr="00A3772D">
              <w:rPr>
                <w:rFonts w:ascii="宋体" w:hAnsi="宋体"/>
                <w:szCs w:val="21"/>
              </w:rPr>
              <w:t>98</w:t>
            </w:r>
            <w:r w:rsidRPr="00A3772D">
              <w:rPr>
                <w:rFonts w:ascii="宋体" w:hAnsi="宋体"/>
                <w:szCs w:val="21"/>
                <w:vertAlign w:val="superscript"/>
              </w:rPr>
              <w:t xml:space="preserve"> b</w:t>
            </w:r>
          </w:p>
        </w:tc>
      </w:tr>
      <w:tr w:rsidR="00A3772D" w:rsidRPr="00A3772D" w14:paraId="4294244C" w14:textId="77777777" w:rsidTr="00F85C56">
        <w:trPr>
          <w:trHeight w:val="397"/>
          <w:jc w:val="center"/>
        </w:trPr>
        <w:tc>
          <w:tcPr>
            <w:tcW w:w="501" w:type="dxa"/>
            <w:vMerge/>
            <w:vAlign w:val="center"/>
          </w:tcPr>
          <w:p w14:paraId="6D55861B" w14:textId="77777777" w:rsidR="00A3772D" w:rsidRPr="00A3772D" w:rsidRDefault="00A3772D" w:rsidP="00A3772D">
            <w:pPr>
              <w:ind w:firstLineChars="0" w:firstLine="0"/>
              <w:jc w:val="left"/>
              <w:rPr>
                <w:rFonts w:ascii="宋体" w:hAnsi="宋体"/>
                <w:bCs/>
                <w:szCs w:val="21"/>
              </w:rPr>
            </w:pPr>
          </w:p>
        </w:tc>
        <w:tc>
          <w:tcPr>
            <w:tcW w:w="1667" w:type="dxa"/>
            <w:vAlign w:val="center"/>
          </w:tcPr>
          <w:p w14:paraId="0506A915" w14:textId="77777777" w:rsidR="00A3772D" w:rsidRPr="00A3772D" w:rsidRDefault="00A3772D" w:rsidP="00A3772D">
            <w:pPr>
              <w:ind w:firstLineChars="0" w:firstLine="0"/>
              <w:jc w:val="left"/>
              <w:rPr>
                <w:rFonts w:ascii="宋体" w:hAnsi="宋体"/>
                <w:bCs/>
                <w:szCs w:val="21"/>
              </w:rPr>
            </w:pPr>
            <w:r w:rsidRPr="00A3772D">
              <w:rPr>
                <w:rFonts w:ascii="宋体" w:hAnsi="宋体"/>
                <w:bCs/>
                <w:szCs w:val="21"/>
              </w:rPr>
              <w:t>柴油</w:t>
            </w:r>
          </w:p>
        </w:tc>
        <w:tc>
          <w:tcPr>
            <w:tcW w:w="1134" w:type="dxa"/>
            <w:vAlign w:val="center"/>
          </w:tcPr>
          <w:p w14:paraId="6B913410" w14:textId="77777777" w:rsidR="00A3772D" w:rsidRPr="00A3772D" w:rsidRDefault="00A3772D" w:rsidP="00A3772D">
            <w:pPr>
              <w:ind w:firstLineChars="0" w:firstLine="0"/>
              <w:jc w:val="left"/>
              <w:rPr>
                <w:rFonts w:ascii="宋体" w:hAnsi="宋体"/>
                <w:bCs/>
                <w:szCs w:val="21"/>
              </w:rPr>
            </w:pPr>
            <w:r w:rsidRPr="00A3772D">
              <w:rPr>
                <w:rFonts w:ascii="宋体" w:hAnsi="宋体"/>
                <w:bCs/>
                <w:szCs w:val="21"/>
              </w:rPr>
              <w:t>t</w:t>
            </w:r>
          </w:p>
        </w:tc>
        <w:tc>
          <w:tcPr>
            <w:tcW w:w="2268" w:type="dxa"/>
            <w:vAlign w:val="center"/>
          </w:tcPr>
          <w:p w14:paraId="3C8734D0" w14:textId="77777777" w:rsidR="00A3772D" w:rsidRPr="00A3772D" w:rsidRDefault="00A3772D" w:rsidP="00A3772D">
            <w:pPr>
              <w:pStyle w:val="Default"/>
              <w:rPr>
                <w:rFonts w:ascii="宋体" w:hAnsi="宋体"/>
                <w:sz w:val="21"/>
                <w:szCs w:val="21"/>
              </w:rPr>
            </w:pPr>
            <w:r w:rsidRPr="00A3772D">
              <w:rPr>
                <w:rFonts w:ascii="宋体" w:hAnsi="宋体"/>
                <w:sz w:val="21"/>
                <w:szCs w:val="21"/>
              </w:rPr>
              <w:t>42.652</w:t>
            </w:r>
            <w:r w:rsidRPr="00A3772D">
              <w:rPr>
                <w:rFonts w:ascii="宋体" w:hAnsi="宋体"/>
                <w:sz w:val="21"/>
                <w:szCs w:val="21"/>
                <w:vertAlign w:val="superscript"/>
              </w:rPr>
              <w:t xml:space="preserve"> a</w:t>
            </w:r>
          </w:p>
        </w:tc>
        <w:tc>
          <w:tcPr>
            <w:tcW w:w="1843" w:type="dxa"/>
            <w:vAlign w:val="center"/>
          </w:tcPr>
          <w:p w14:paraId="2A01D1BA" w14:textId="77777777" w:rsidR="00A3772D" w:rsidRPr="00A3772D" w:rsidRDefault="00A3772D" w:rsidP="00A3772D">
            <w:pPr>
              <w:ind w:firstLineChars="0" w:firstLine="0"/>
              <w:jc w:val="left"/>
              <w:rPr>
                <w:rFonts w:ascii="宋体" w:hAnsi="宋体"/>
                <w:szCs w:val="21"/>
              </w:rPr>
            </w:pPr>
            <w:r w:rsidRPr="00A3772D">
              <w:rPr>
                <w:rFonts w:ascii="宋体" w:hAnsi="宋体"/>
                <w:szCs w:val="21"/>
              </w:rPr>
              <w:t>20.2</w:t>
            </w:r>
            <w:r w:rsidRPr="00A3772D">
              <w:rPr>
                <w:rFonts w:ascii="宋体" w:hAnsi="宋体"/>
                <w:szCs w:val="21"/>
                <w:vertAlign w:val="superscript"/>
              </w:rPr>
              <w:t>b</w:t>
            </w:r>
            <w:r w:rsidRPr="00A3772D">
              <w:rPr>
                <w:rFonts w:ascii="宋体" w:hAnsi="宋体"/>
                <w:szCs w:val="21"/>
              </w:rPr>
              <w:t>×10</w:t>
            </w:r>
            <w:r w:rsidRPr="00A3772D">
              <w:rPr>
                <w:rFonts w:ascii="宋体" w:hAnsi="宋体"/>
                <w:szCs w:val="21"/>
                <w:vertAlign w:val="superscript"/>
              </w:rPr>
              <w:t>-3</w:t>
            </w:r>
          </w:p>
        </w:tc>
        <w:tc>
          <w:tcPr>
            <w:tcW w:w="1984" w:type="dxa"/>
            <w:gridSpan w:val="2"/>
            <w:vAlign w:val="center"/>
          </w:tcPr>
          <w:p w14:paraId="22D78EF5" w14:textId="77777777" w:rsidR="00A3772D" w:rsidRPr="00A3772D" w:rsidRDefault="00A3772D" w:rsidP="00A3772D">
            <w:pPr>
              <w:ind w:firstLineChars="0" w:firstLine="0"/>
              <w:jc w:val="left"/>
              <w:rPr>
                <w:rFonts w:ascii="宋体" w:hAnsi="宋体"/>
                <w:szCs w:val="21"/>
              </w:rPr>
            </w:pPr>
            <w:r w:rsidRPr="00A3772D">
              <w:rPr>
                <w:rFonts w:ascii="宋体" w:hAnsi="宋体"/>
                <w:szCs w:val="21"/>
              </w:rPr>
              <w:t>98</w:t>
            </w:r>
            <w:r w:rsidRPr="00A3772D">
              <w:rPr>
                <w:rFonts w:ascii="宋体" w:hAnsi="宋体"/>
                <w:szCs w:val="21"/>
                <w:vertAlign w:val="superscript"/>
              </w:rPr>
              <w:t xml:space="preserve"> b</w:t>
            </w:r>
          </w:p>
        </w:tc>
      </w:tr>
      <w:tr w:rsidR="00A3772D" w:rsidRPr="00A3772D" w14:paraId="13FF0DD1" w14:textId="77777777" w:rsidTr="00F85C56">
        <w:trPr>
          <w:trHeight w:val="397"/>
          <w:jc w:val="center"/>
        </w:trPr>
        <w:tc>
          <w:tcPr>
            <w:tcW w:w="501" w:type="dxa"/>
            <w:vMerge/>
            <w:vAlign w:val="center"/>
          </w:tcPr>
          <w:p w14:paraId="4841428A" w14:textId="77777777" w:rsidR="00A3772D" w:rsidRPr="00A3772D" w:rsidRDefault="00A3772D" w:rsidP="00A3772D">
            <w:pPr>
              <w:ind w:firstLineChars="0" w:firstLine="0"/>
              <w:jc w:val="left"/>
              <w:rPr>
                <w:rFonts w:ascii="宋体" w:hAnsi="宋体"/>
                <w:bCs/>
                <w:szCs w:val="21"/>
              </w:rPr>
            </w:pPr>
          </w:p>
        </w:tc>
        <w:tc>
          <w:tcPr>
            <w:tcW w:w="1667" w:type="dxa"/>
            <w:vAlign w:val="center"/>
          </w:tcPr>
          <w:p w14:paraId="0AA27430" w14:textId="77777777" w:rsidR="00A3772D" w:rsidRPr="00A3772D" w:rsidRDefault="00A3772D" w:rsidP="00A3772D">
            <w:pPr>
              <w:ind w:firstLineChars="0" w:firstLine="0"/>
              <w:jc w:val="left"/>
              <w:rPr>
                <w:rFonts w:ascii="宋体" w:hAnsi="宋体"/>
                <w:bCs/>
                <w:szCs w:val="21"/>
              </w:rPr>
            </w:pPr>
            <w:r w:rsidRPr="00A3772D">
              <w:rPr>
                <w:rFonts w:ascii="宋体" w:hAnsi="宋体"/>
                <w:bCs/>
                <w:szCs w:val="21"/>
              </w:rPr>
              <w:t>一般煤油</w:t>
            </w:r>
          </w:p>
        </w:tc>
        <w:tc>
          <w:tcPr>
            <w:tcW w:w="1134" w:type="dxa"/>
            <w:vAlign w:val="center"/>
          </w:tcPr>
          <w:p w14:paraId="155016EE" w14:textId="77777777" w:rsidR="00A3772D" w:rsidRPr="00A3772D" w:rsidRDefault="00A3772D" w:rsidP="00A3772D">
            <w:pPr>
              <w:ind w:firstLineChars="0" w:firstLine="0"/>
              <w:jc w:val="left"/>
              <w:rPr>
                <w:rFonts w:ascii="宋体" w:hAnsi="宋体"/>
                <w:bCs/>
                <w:szCs w:val="21"/>
              </w:rPr>
            </w:pPr>
            <w:r w:rsidRPr="00A3772D">
              <w:rPr>
                <w:rFonts w:ascii="宋体" w:hAnsi="宋体"/>
                <w:bCs/>
                <w:szCs w:val="21"/>
              </w:rPr>
              <w:t>t</w:t>
            </w:r>
          </w:p>
        </w:tc>
        <w:tc>
          <w:tcPr>
            <w:tcW w:w="2268" w:type="dxa"/>
            <w:vAlign w:val="center"/>
          </w:tcPr>
          <w:p w14:paraId="3C8C527F" w14:textId="77777777" w:rsidR="00A3772D" w:rsidRPr="00A3772D" w:rsidRDefault="00A3772D" w:rsidP="00A3772D">
            <w:pPr>
              <w:ind w:firstLineChars="0" w:firstLine="0"/>
              <w:jc w:val="left"/>
              <w:rPr>
                <w:rFonts w:ascii="宋体" w:hAnsi="宋体"/>
                <w:szCs w:val="21"/>
              </w:rPr>
            </w:pPr>
            <w:r w:rsidRPr="00A3772D">
              <w:rPr>
                <w:rFonts w:ascii="宋体" w:hAnsi="宋体"/>
                <w:szCs w:val="21"/>
              </w:rPr>
              <w:t>43.070</w:t>
            </w:r>
            <w:r w:rsidRPr="00A3772D">
              <w:rPr>
                <w:rFonts w:ascii="宋体" w:hAnsi="宋体"/>
                <w:szCs w:val="21"/>
                <w:vertAlign w:val="superscript"/>
              </w:rPr>
              <w:t xml:space="preserve"> a</w:t>
            </w:r>
          </w:p>
        </w:tc>
        <w:tc>
          <w:tcPr>
            <w:tcW w:w="1843" w:type="dxa"/>
            <w:vAlign w:val="center"/>
          </w:tcPr>
          <w:p w14:paraId="6E45A827" w14:textId="77777777" w:rsidR="00A3772D" w:rsidRPr="00A3772D" w:rsidRDefault="00A3772D" w:rsidP="00A3772D">
            <w:pPr>
              <w:pStyle w:val="Default"/>
              <w:rPr>
                <w:rFonts w:ascii="宋体" w:hAnsi="宋体"/>
                <w:sz w:val="21"/>
                <w:szCs w:val="21"/>
              </w:rPr>
            </w:pPr>
            <w:r w:rsidRPr="00A3772D">
              <w:rPr>
                <w:rFonts w:ascii="宋体" w:hAnsi="宋体"/>
                <w:sz w:val="21"/>
                <w:szCs w:val="21"/>
              </w:rPr>
              <w:t>19.6</w:t>
            </w:r>
            <w:r w:rsidRPr="00A3772D">
              <w:rPr>
                <w:rFonts w:ascii="宋体" w:hAnsi="宋体"/>
                <w:sz w:val="21"/>
                <w:szCs w:val="21"/>
                <w:vertAlign w:val="superscript"/>
              </w:rPr>
              <w:t>b</w:t>
            </w:r>
            <w:r w:rsidRPr="00A3772D">
              <w:rPr>
                <w:rFonts w:ascii="宋体" w:hAnsi="宋体"/>
                <w:sz w:val="21"/>
                <w:szCs w:val="21"/>
              </w:rPr>
              <w:t>×10</w:t>
            </w:r>
            <w:r w:rsidRPr="00A3772D">
              <w:rPr>
                <w:rFonts w:ascii="宋体" w:hAnsi="宋体"/>
                <w:sz w:val="21"/>
                <w:szCs w:val="21"/>
                <w:vertAlign w:val="superscript"/>
              </w:rPr>
              <w:t>-3</w:t>
            </w:r>
          </w:p>
        </w:tc>
        <w:tc>
          <w:tcPr>
            <w:tcW w:w="1984" w:type="dxa"/>
            <w:gridSpan w:val="2"/>
            <w:vAlign w:val="center"/>
          </w:tcPr>
          <w:p w14:paraId="0150CE18" w14:textId="77777777" w:rsidR="00A3772D" w:rsidRPr="00A3772D" w:rsidRDefault="00A3772D" w:rsidP="00A3772D">
            <w:pPr>
              <w:ind w:firstLineChars="0" w:firstLine="0"/>
              <w:jc w:val="left"/>
              <w:rPr>
                <w:rFonts w:ascii="宋体" w:hAnsi="宋体"/>
                <w:szCs w:val="21"/>
              </w:rPr>
            </w:pPr>
            <w:r w:rsidRPr="00A3772D">
              <w:rPr>
                <w:rFonts w:ascii="宋体" w:hAnsi="宋体"/>
                <w:szCs w:val="21"/>
              </w:rPr>
              <w:t>98</w:t>
            </w:r>
            <w:r w:rsidRPr="00A3772D">
              <w:rPr>
                <w:rFonts w:ascii="宋体" w:hAnsi="宋体"/>
                <w:szCs w:val="21"/>
                <w:vertAlign w:val="superscript"/>
              </w:rPr>
              <w:t xml:space="preserve"> b</w:t>
            </w:r>
          </w:p>
        </w:tc>
      </w:tr>
      <w:tr w:rsidR="00A3772D" w:rsidRPr="00A3772D" w14:paraId="00653840" w14:textId="77777777" w:rsidTr="00F85C56">
        <w:trPr>
          <w:trHeight w:val="397"/>
          <w:jc w:val="center"/>
        </w:trPr>
        <w:tc>
          <w:tcPr>
            <w:tcW w:w="501" w:type="dxa"/>
            <w:vMerge/>
            <w:vAlign w:val="center"/>
          </w:tcPr>
          <w:p w14:paraId="3AC1CD04" w14:textId="77777777" w:rsidR="00A3772D" w:rsidRPr="00A3772D" w:rsidRDefault="00A3772D" w:rsidP="00A3772D">
            <w:pPr>
              <w:ind w:firstLineChars="0" w:firstLine="0"/>
              <w:jc w:val="left"/>
              <w:rPr>
                <w:rFonts w:ascii="宋体" w:hAnsi="宋体"/>
                <w:bCs/>
                <w:szCs w:val="21"/>
              </w:rPr>
            </w:pPr>
          </w:p>
        </w:tc>
        <w:tc>
          <w:tcPr>
            <w:tcW w:w="1667" w:type="dxa"/>
            <w:vAlign w:val="center"/>
          </w:tcPr>
          <w:p w14:paraId="37E2D960" w14:textId="77777777" w:rsidR="00A3772D" w:rsidRPr="00A3772D" w:rsidRDefault="00A3772D" w:rsidP="00A3772D">
            <w:pPr>
              <w:ind w:firstLineChars="0" w:firstLine="0"/>
              <w:jc w:val="left"/>
              <w:rPr>
                <w:rFonts w:ascii="宋体" w:hAnsi="宋体"/>
                <w:bCs/>
                <w:szCs w:val="21"/>
              </w:rPr>
            </w:pPr>
            <w:r w:rsidRPr="00A3772D">
              <w:rPr>
                <w:rFonts w:ascii="宋体" w:hAnsi="宋体"/>
                <w:bCs/>
                <w:szCs w:val="21"/>
              </w:rPr>
              <w:t>液化天然气</w:t>
            </w:r>
          </w:p>
        </w:tc>
        <w:tc>
          <w:tcPr>
            <w:tcW w:w="1134" w:type="dxa"/>
            <w:vAlign w:val="center"/>
          </w:tcPr>
          <w:p w14:paraId="14B9FB9D" w14:textId="77777777" w:rsidR="00A3772D" w:rsidRPr="00A3772D" w:rsidRDefault="00A3772D" w:rsidP="00A3772D">
            <w:pPr>
              <w:ind w:firstLineChars="0" w:firstLine="0"/>
              <w:jc w:val="left"/>
              <w:rPr>
                <w:rFonts w:ascii="宋体" w:hAnsi="宋体"/>
                <w:bCs/>
                <w:szCs w:val="21"/>
              </w:rPr>
            </w:pPr>
            <w:r w:rsidRPr="00A3772D">
              <w:rPr>
                <w:rFonts w:ascii="宋体" w:hAnsi="宋体"/>
                <w:bCs/>
                <w:szCs w:val="21"/>
              </w:rPr>
              <w:t>t</w:t>
            </w:r>
          </w:p>
        </w:tc>
        <w:tc>
          <w:tcPr>
            <w:tcW w:w="2268" w:type="dxa"/>
            <w:vAlign w:val="center"/>
          </w:tcPr>
          <w:p w14:paraId="3DF6714E" w14:textId="77777777" w:rsidR="00A3772D" w:rsidRPr="00A3772D" w:rsidRDefault="00A3772D" w:rsidP="00A3772D">
            <w:pPr>
              <w:pStyle w:val="Default"/>
              <w:rPr>
                <w:rFonts w:ascii="宋体" w:hAnsi="宋体"/>
                <w:sz w:val="21"/>
                <w:szCs w:val="21"/>
              </w:rPr>
            </w:pPr>
            <w:r w:rsidRPr="00A3772D">
              <w:rPr>
                <w:rFonts w:ascii="宋体" w:hAnsi="宋体"/>
                <w:sz w:val="21"/>
                <w:szCs w:val="21"/>
              </w:rPr>
              <w:t xml:space="preserve">51.434 </w:t>
            </w:r>
            <w:r w:rsidRPr="00A3772D">
              <w:rPr>
                <w:rFonts w:ascii="宋体" w:hAnsi="宋体"/>
                <w:sz w:val="21"/>
                <w:szCs w:val="21"/>
                <w:vertAlign w:val="superscript"/>
              </w:rPr>
              <w:t>e</w:t>
            </w:r>
          </w:p>
        </w:tc>
        <w:tc>
          <w:tcPr>
            <w:tcW w:w="1843" w:type="dxa"/>
            <w:vAlign w:val="center"/>
          </w:tcPr>
          <w:p w14:paraId="32658AD0" w14:textId="77777777" w:rsidR="00A3772D" w:rsidRPr="00A3772D" w:rsidRDefault="00A3772D" w:rsidP="00A3772D">
            <w:pPr>
              <w:pStyle w:val="Default"/>
              <w:rPr>
                <w:rFonts w:ascii="宋体" w:hAnsi="宋体"/>
                <w:sz w:val="21"/>
                <w:szCs w:val="21"/>
              </w:rPr>
            </w:pPr>
            <w:r w:rsidRPr="00A3772D">
              <w:rPr>
                <w:rFonts w:ascii="宋体" w:hAnsi="宋体"/>
                <w:sz w:val="21"/>
                <w:szCs w:val="21"/>
              </w:rPr>
              <w:t>15.3</w:t>
            </w:r>
            <w:r w:rsidRPr="00A3772D">
              <w:rPr>
                <w:rFonts w:ascii="宋体" w:hAnsi="宋体"/>
                <w:sz w:val="21"/>
                <w:szCs w:val="21"/>
                <w:vertAlign w:val="superscript"/>
              </w:rPr>
              <w:t>b</w:t>
            </w:r>
            <w:r w:rsidRPr="00A3772D">
              <w:rPr>
                <w:rFonts w:ascii="宋体" w:hAnsi="宋体"/>
                <w:sz w:val="21"/>
                <w:szCs w:val="21"/>
              </w:rPr>
              <w:t>×10</w:t>
            </w:r>
            <w:r w:rsidRPr="00A3772D">
              <w:rPr>
                <w:rFonts w:ascii="宋体" w:hAnsi="宋体"/>
                <w:sz w:val="21"/>
                <w:szCs w:val="21"/>
                <w:vertAlign w:val="superscript"/>
              </w:rPr>
              <w:t>-3</w:t>
            </w:r>
          </w:p>
        </w:tc>
        <w:tc>
          <w:tcPr>
            <w:tcW w:w="1984" w:type="dxa"/>
            <w:gridSpan w:val="2"/>
            <w:vAlign w:val="center"/>
          </w:tcPr>
          <w:p w14:paraId="7C8B205B" w14:textId="77777777" w:rsidR="00A3772D" w:rsidRPr="00A3772D" w:rsidRDefault="00A3772D" w:rsidP="00A3772D">
            <w:pPr>
              <w:ind w:firstLineChars="0" w:firstLine="0"/>
              <w:jc w:val="left"/>
              <w:rPr>
                <w:rFonts w:ascii="宋体" w:hAnsi="宋体"/>
                <w:szCs w:val="21"/>
              </w:rPr>
            </w:pPr>
            <w:r w:rsidRPr="00A3772D">
              <w:rPr>
                <w:rFonts w:ascii="宋体" w:hAnsi="宋体"/>
                <w:szCs w:val="21"/>
              </w:rPr>
              <w:t>98</w:t>
            </w:r>
            <w:r w:rsidRPr="00A3772D">
              <w:rPr>
                <w:rFonts w:ascii="宋体" w:hAnsi="宋体"/>
                <w:szCs w:val="21"/>
                <w:vertAlign w:val="superscript"/>
              </w:rPr>
              <w:t xml:space="preserve"> b</w:t>
            </w:r>
          </w:p>
        </w:tc>
      </w:tr>
      <w:tr w:rsidR="00A3772D" w:rsidRPr="00A3772D" w14:paraId="5D219A34" w14:textId="77777777" w:rsidTr="00F85C56">
        <w:trPr>
          <w:trHeight w:val="397"/>
          <w:jc w:val="center"/>
        </w:trPr>
        <w:tc>
          <w:tcPr>
            <w:tcW w:w="501" w:type="dxa"/>
            <w:vMerge/>
            <w:vAlign w:val="center"/>
          </w:tcPr>
          <w:p w14:paraId="462BA606" w14:textId="77777777" w:rsidR="00A3772D" w:rsidRPr="00A3772D" w:rsidRDefault="00A3772D" w:rsidP="00A3772D">
            <w:pPr>
              <w:ind w:firstLineChars="0" w:firstLine="0"/>
              <w:jc w:val="left"/>
              <w:rPr>
                <w:rFonts w:ascii="宋体" w:hAnsi="宋体"/>
                <w:bCs/>
                <w:szCs w:val="21"/>
              </w:rPr>
            </w:pPr>
          </w:p>
        </w:tc>
        <w:tc>
          <w:tcPr>
            <w:tcW w:w="1667" w:type="dxa"/>
            <w:vAlign w:val="center"/>
          </w:tcPr>
          <w:p w14:paraId="138D058E" w14:textId="77777777" w:rsidR="00A3772D" w:rsidRPr="00A3772D" w:rsidRDefault="00A3772D" w:rsidP="00A3772D">
            <w:pPr>
              <w:ind w:firstLineChars="0" w:firstLine="0"/>
              <w:jc w:val="left"/>
              <w:rPr>
                <w:rFonts w:ascii="宋体" w:hAnsi="宋体"/>
                <w:bCs/>
                <w:szCs w:val="21"/>
              </w:rPr>
            </w:pPr>
            <w:r w:rsidRPr="00A3772D">
              <w:rPr>
                <w:rFonts w:ascii="宋体" w:hAnsi="宋体"/>
                <w:bCs/>
                <w:szCs w:val="21"/>
              </w:rPr>
              <w:t>液化石油气</w:t>
            </w:r>
          </w:p>
        </w:tc>
        <w:tc>
          <w:tcPr>
            <w:tcW w:w="1134" w:type="dxa"/>
            <w:vAlign w:val="center"/>
          </w:tcPr>
          <w:p w14:paraId="241AE47E" w14:textId="77777777" w:rsidR="00A3772D" w:rsidRPr="00A3772D" w:rsidRDefault="00A3772D" w:rsidP="00A3772D">
            <w:pPr>
              <w:ind w:firstLineChars="0" w:firstLine="0"/>
              <w:jc w:val="left"/>
              <w:rPr>
                <w:rFonts w:ascii="宋体" w:hAnsi="宋体"/>
                <w:bCs/>
                <w:szCs w:val="21"/>
              </w:rPr>
            </w:pPr>
            <w:r w:rsidRPr="00A3772D">
              <w:rPr>
                <w:rFonts w:ascii="宋体" w:hAnsi="宋体"/>
                <w:bCs/>
                <w:szCs w:val="21"/>
              </w:rPr>
              <w:t>t</w:t>
            </w:r>
          </w:p>
        </w:tc>
        <w:tc>
          <w:tcPr>
            <w:tcW w:w="2268" w:type="dxa"/>
            <w:vAlign w:val="center"/>
          </w:tcPr>
          <w:p w14:paraId="36BC6953" w14:textId="77777777" w:rsidR="00A3772D" w:rsidRPr="00A3772D" w:rsidRDefault="00A3772D" w:rsidP="00A3772D">
            <w:pPr>
              <w:pStyle w:val="Default"/>
              <w:rPr>
                <w:rFonts w:ascii="宋体" w:hAnsi="宋体"/>
                <w:sz w:val="21"/>
                <w:szCs w:val="21"/>
              </w:rPr>
            </w:pPr>
            <w:r w:rsidRPr="00A3772D">
              <w:rPr>
                <w:rFonts w:ascii="宋体" w:hAnsi="宋体"/>
                <w:sz w:val="21"/>
                <w:szCs w:val="21"/>
              </w:rPr>
              <w:t>50.179</w:t>
            </w:r>
            <w:r w:rsidRPr="00A3772D">
              <w:rPr>
                <w:rFonts w:ascii="宋体" w:hAnsi="宋体"/>
                <w:sz w:val="21"/>
                <w:szCs w:val="21"/>
                <w:vertAlign w:val="superscript"/>
              </w:rPr>
              <w:t xml:space="preserve"> a</w:t>
            </w:r>
          </w:p>
        </w:tc>
        <w:tc>
          <w:tcPr>
            <w:tcW w:w="1843" w:type="dxa"/>
            <w:vAlign w:val="center"/>
          </w:tcPr>
          <w:p w14:paraId="75216DCA" w14:textId="77777777" w:rsidR="00A3772D" w:rsidRPr="00A3772D" w:rsidRDefault="00A3772D" w:rsidP="00A3772D">
            <w:pPr>
              <w:pStyle w:val="Default"/>
              <w:rPr>
                <w:rFonts w:ascii="宋体" w:hAnsi="宋体"/>
                <w:sz w:val="21"/>
                <w:szCs w:val="21"/>
              </w:rPr>
            </w:pPr>
            <w:r w:rsidRPr="00A3772D">
              <w:rPr>
                <w:rFonts w:ascii="宋体" w:hAnsi="宋体"/>
                <w:sz w:val="21"/>
                <w:szCs w:val="21"/>
              </w:rPr>
              <w:t>17.2</w:t>
            </w:r>
            <w:r w:rsidRPr="00A3772D">
              <w:rPr>
                <w:rFonts w:ascii="宋体" w:hAnsi="宋体"/>
                <w:sz w:val="21"/>
                <w:szCs w:val="21"/>
                <w:vertAlign w:val="superscript"/>
              </w:rPr>
              <w:t>b</w:t>
            </w:r>
            <w:r w:rsidRPr="00A3772D">
              <w:rPr>
                <w:rFonts w:ascii="宋体" w:hAnsi="宋体"/>
                <w:sz w:val="21"/>
                <w:szCs w:val="21"/>
              </w:rPr>
              <w:t>×10</w:t>
            </w:r>
            <w:r w:rsidRPr="00A3772D">
              <w:rPr>
                <w:rFonts w:ascii="宋体" w:hAnsi="宋体"/>
                <w:sz w:val="21"/>
                <w:szCs w:val="21"/>
                <w:vertAlign w:val="superscript"/>
              </w:rPr>
              <w:t>-3</w:t>
            </w:r>
          </w:p>
        </w:tc>
        <w:tc>
          <w:tcPr>
            <w:tcW w:w="1984" w:type="dxa"/>
            <w:gridSpan w:val="2"/>
            <w:vAlign w:val="center"/>
          </w:tcPr>
          <w:p w14:paraId="1E7DDA04" w14:textId="77777777" w:rsidR="00A3772D" w:rsidRPr="00A3772D" w:rsidRDefault="00A3772D" w:rsidP="00A3772D">
            <w:pPr>
              <w:ind w:firstLineChars="0" w:firstLine="0"/>
              <w:jc w:val="left"/>
              <w:rPr>
                <w:rFonts w:ascii="宋体" w:hAnsi="宋体"/>
                <w:szCs w:val="21"/>
              </w:rPr>
            </w:pPr>
            <w:r w:rsidRPr="00A3772D">
              <w:rPr>
                <w:rFonts w:ascii="宋体" w:hAnsi="宋体"/>
                <w:szCs w:val="21"/>
              </w:rPr>
              <w:t>98</w:t>
            </w:r>
            <w:r w:rsidRPr="00A3772D">
              <w:rPr>
                <w:rFonts w:ascii="宋体" w:hAnsi="宋体"/>
                <w:szCs w:val="21"/>
                <w:vertAlign w:val="superscript"/>
              </w:rPr>
              <w:t xml:space="preserve"> b</w:t>
            </w:r>
          </w:p>
        </w:tc>
      </w:tr>
      <w:tr w:rsidR="00A3772D" w:rsidRPr="00A3772D" w14:paraId="7D850BCC" w14:textId="77777777" w:rsidTr="00F85C56">
        <w:trPr>
          <w:trHeight w:val="397"/>
          <w:jc w:val="center"/>
        </w:trPr>
        <w:tc>
          <w:tcPr>
            <w:tcW w:w="501" w:type="dxa"/>
            <w:vMerge w:val="restart"/>
            <w:vAlign w:val="center"/>
          </w:tcPr>
          <w:p w14:paraId="5DED26DD" w14:textId="77777777" w:rsidR="00A3772D" w:rsidRPr="00A3772D" w:rsidRDefault="00A3772D" w:rsidP="00A3772D">
            <w:pPr>
              <w:ind w:firstLineChars="0" w:firstLine="0"/>
              <w:jc w:val="left"/>
              <w:rPr>
                <w:rFonts w:ascii="宋体" w:hAnsi="宋体"/>
                <w:bCs/>
                <w:szCs w:val="21"/>
              </w:rPr>
            </w:pPr>
            <w:r w:rsidRPr="00A3772D">
              <w:rPr>
                <w:rFonts w:ascii="宋体" w:hAnsi="宋体" w:hint="eastAsia"/>
                <w:bCs/>
                <w:szCs w:val="21"/>
              </w:rPr>
              <w:t>气</w:t>
            </w:r>
          </w:p>
          <w:p w14:paraId="6DF8DB54" w14:textId="77777777" w:rsidR="00A3772D" w:rsidRPr="00A3772D" w:rsidRDefault="00A3772D" w:rsidP="00A3772D">
            <w:pPr>
              <w:ind w:firstLineChars="0" w:firstLine="0"/>
              <w:jc w:val="left"/>
              <w:rPr>
                <w:rFonts w:ascii="宋体" w:hAnsi="宋体"/>
                <w:bCs/>
                <w:szCs w:val="21"/>
              </w:rPr>
            </w:pPr>
            <w:r w:rsidRPr="00A3772D">
              <w:rPr>
                <w:rFonts w:ascii="宋体" w:hAnsi="宋体" w:hint="eastAsia"/>
                <w:bCs/>
                <w:szCs w:val="21"/>
              </w:rPr>
              <w:t>体</w:t>
            </w:r>
          </w:p>
          <w:p w14:paraId="7F0306B2" w14:textId="77777777" w:rsidR="00A3772D" w:rsidRPr="00A3772D" w:rsidRDefault="00A3772D" w:rsidP="00A3772D">
            <w:pPr>
              <w:ind w:firstLineChars="0" w:firstLine="0"/>
              <w:jc w:val="left"/>
              <w:rPr>
                <w:rFonts w:ascii="宋体" w:hAnsi="宋体"/>
                <w:bCs/>
                <w:szCs w:val="21"/>
              </w:rPr>
            </w:pPr>
            <w:r w:rsidRPr="00A3772D">
              <w:rPr>
                <w:rFonts w:ascii="宋体" w:hAnsi="宋体" w:hint="eastAsia"/>
                <w:bCs/>
                <w:szCs w:val="21"/>
              </w:rPr>
              <w:t>燃</w:t>
            </w:r>
          </w:p>
          <w:p w14:paraId="300D69DB" w14:textId="3224CB22" w:rsidR="00A3772D" w:rsidRPr="00A3772D" w:rsidRDefault="00A3772D" w:rsidP="00A3772D">
            <w:pPr>
              <w:ind w:firstLineChars="0" w:firstLine="0"/>
              <w:jc w:val="left"/>
              <w:rPr>
                <w:rFonts w:ascii="宋体" w:hAnsi="宋体"/>
                <w:bCs/>
                <w:szCs w:val="21"/>
              </w:rPr>
            </w:pPr>
            <w:r w:rsidRPr="00A3772D">
              <w:rPr>
                <w:rFonts w:ascii="宋体" w:hAnsi="宋体" w:hint="eastAsia"/>
                <w:bCs/>
                <w:szCs w:val="21"/>
              </w:rPr>
              <w:t>料</w:t>
            </w:r>
          </w:p>
        </w:tc>
        <w:tc>
          <w:tcPr>
            <w:tcW w:w="1667" w:type="dxa"/>
            <w:vAlign w:val="center"/>
          </w:tcPr>
          <w:p w14:paraId="0DA2C829" w14:textId="77777777" w:rsidR="00A3772D" w:rsidRPr="00A3772D" w:rsidRDefault="00A3772D" w:rsidP="00A3772D">
            <w:pPr>
              <w:ind w:firstLineChars="0" w:firstLine="0"/>
              <w:jc w:val="left"/>
              <w:rPr>
                <w:rFonts w:ascii="宋体" w:hAnsi="宋体"/>
                <w:bCs/>
                <w:szCs w:val="21"/>
              </w:rPr>
            </w:pPr>
            <w:r w:rsidRPr="00A3772D">
              <w:rPr>
                <w:rFonts w:ascii="宋体" w:hAnsi="宋体"/>
                <w:bCs/>
                <w:szCs w:val="21"/>
              </w:rPr>
              <w:t>高炉煤气</w:t>
            </w:r>
          </w:p>
        </w:tc>
        <w:tc>
          <w:tcPr>
            <w:tcW w:w="1134" w:type="dxa"/>
            <w:vAlign w:val="center"/>
          </w:tcPr>
          <w:p w14:paraId="38E578F4" w14:textId="77777777" w:rsidR="00A3772D" w:rsidRPr="00A3772D" w:rsidRDefault="00A3772D" w:rsidP="00A3772D">
            <w:pPr>
              <w:ind w:firstLineChars="0" w:firstLine="0"/>
              <w:jc w:val="left"/>
              <w:rPr>
                <w:rFonts w:ascii="宋体" w:hAnsi="宋体"/>
                <w:bCs/>
                <w:szCs w:val="21"/>
              </w:rPr>
            </w:pPr>
            <w:r w:rsidRPr="00A3772D">
              <w:rPr>
                <w:rFonts w:ascii="宋体" w:hAnsi="宋体"/>
                <w:bCs/>
                <w:szCs w:val="21"/>
              </w:rPr>
              <w:t>10</w:t>
            </w:r>
            <w:r w:rsidRPr="00A3772D">
              <w:rPr>
                <w:rFonts w:ascii="宋体" w:hAnsi="宋体"/>
                <w:bCs/>
                <w:szCs w:val="21"/>
                <w:vertAlign w:val="superscript"/>
              </w:rPr>
              <w:t>4</w:t>
            </w:r>
            <w:r w:rsidRPr="00A3772D">
              <w:rPr>
                <w:rFonts w:ascii="宋体" w:hAnsi="宋体"/>
                <w:bCs/>
                <w:szCs w:val="21"/>
              </w:rPr>
              <w:t>m</w:t>
            </w:r>
            <w:r w:rsidRPr="00A3772D">
              <w:rPr>
                <w:rFonts w:ascii="宋体" w:hAnsi="宋体"/>
                <w:bCs/>
                <w:szCs w:val="21"/>
                <w:vertAlign w:val="superscript"/>
              </w:rPr>
              <w:t>3</w:t>
            </w:r>
          </w:p>
        </w:tc>
        <w:tc>
          <w:tcPr>
            <w:tcW w:w="2268" w:type="dxa"/>
            <w:vAlign w:val="center"/>
          </w:tcPr>
          <w:p w14:paraId="565DFAFC" w14:textId="77777777" w:rsidR="00A3772D" w:rsidRPr="00A3772D" w:rsidRDefault="00A3772D" w:rsidP="00A3772D">
            <w:pPr>
              <w:ind w:firstLineChars="0" w:firstLine="0"/>
              <w:jc w:val="left"/>
              <w:rPr>
                <w:rFonts w:ascii="宋体" w:hAnsi="宋体"/>
                <w:szCs w:val="21"/>
              </w:rPr>
            </w:pPr>
            <w:r w:rsidRPr="00A3772D">
              <w:rPr>
                <w:rFonts w:ascii="宋体" w:hAnsi="宋体"/>
                <w:szCs w:val="21"/>
              </w:rPr>
              <w:t>33.00</w:t>
            </w:r>
            <w:r w:rsidRPr="00A3772D">
              <w:rPr>
                <w:rFonts w:ascii="宋体" w:hAnsi="宋体"/>
                <w:szCs w:val="21"/>
                <w:vertAlign w:val="superscript"/>
              </w:rPr>
              <w:t xml:space="preserve"> d</w:t>
            </w:r>
          </w:p>
        </w:tc>
        <w:tc>
          <w:tcPr>
            <w:tcW w:w="1843" w:type="dxa"/>
            <w:vAlign w:val="center"/>
          </w:tcPr>
          <w:p w14:paraId="6E728749" w14:textId="77777777" w:rsidR="00A3772D" w:rsidRPr="00A3772D" w:rsidRDefault="00A3772D" w:rsidP="00A3772D">
            <w:pPr>
              <w:pStyle w:val="Default"/>
              <w:rPr>
                <w:rFonts w:ascii="宋体" w:hAnsi="宋体"/>
                <w:sz w:val="21"/>
                <w:szCs w:val="21"/>
              </w:rPr>
            </w:pPr>
            <w:r w:rsidRPr="00A3772D">
              <w:rPr>
                <w:rFonts w:ascii="宋体" w:hAnsi="宋体"/>
                <w:sz w:val="21"/>
                <w:szCs w:val="21"/>
              </w:rPr>
              <w:t>70.80</w:t>
            </w:r>
            <w:r w:rsidRPr="00A3772D">
              <w:rPr>
                <w:rFonts w:ascii="宋体" w:hAnsi="宋体"/>
                <w:sz w:val="21"/>
                <w:szCs w:val="21"/>
                <w:vertAlign w:val="superscript"/>
              </w:rPr>
              <w:t>c</w:t>
            </w:r>
            <w:r w:rsidRPr="00A3772D">
              <w:rPr>
                <w:rFonts w:ascii="宋体" w:hAnsi="宋体"/>
                <w:sz w:val="21"/>
                <w:szCs w:val="21"/>
              </w:rPr>
              <w:t>×10</w:t>
            </w:r>
            <w:r w:rsidRPr="00A3772D">
              <w:rPr>
                <w:rFonts w:ascii="宋体" w:hAnsi="宋体"/>
                <w:sz w:val="21"/>
                <w:szCs w:val="21"/>
                <w:vertAlign w:val="superscript"/>
              </w:rPr>
              <w:t>-3</w:t>
            </w:r>
          </w:p>
        </w:tc>
        <w:tc>
          <w:tcPr>
            <w:tcW w:w="1984" w:type="dxa"/>
            <w:gridSpan w:val="2"/>
            <w:vAlign w:val="center"/>
          </w:tcPr>
          <w:p w14:paraId="3ABCF162" w14:textId="77777777" w:rsidR="00A3772D" w:rsidRPr="00A3772D" w:rsidRDefault="00A3772D" w:rsidP="00A3772D">
            <w:pPr>
              <w:ind w:firstLineChars="0" w:firstLine="0"/>
              <w:jc w:val="left"/>
              <w:rPr>
                <w:rFonts w:ascii="宋体" w:hAnsi="宋体"/>
                <w:szCs w:val="21"/>
              </w:rPr>
            </w:pPr>
            <w:r w:rsidRPr="00A3772D">
              <w:rPr>
                <w:rFonts w:ascii="宋体" w:hAnsi="宋体"/>
                <w:szCs w:val="21"/>
              </w:rPr>
              <w:t>99</w:t>
            </w:r>
            <w:r w:rsidRPr="00A3772D">
              <w:rPr>
                <w:rFonts w:ascii="宋体" w:hAnsi="宋体"/>
                <w:szCs w:val="21"/>
                <w:vertAlign w:val="superscript"/>
              </w:rPr>
              <w:t xml:space="preserve"> b</w:t>
            </w:r>
          </w:p>
        </w:tc>
      </w:tr>
      <w:tr w:rsidR="00A3772D" w:rsidRPr="00A3772D" w14:paraId="7083202A" w14:textId="77777777" w:rsidTr="00F85C56">
        <w:trPr>
          <w:trHeight w:val="397"/>
          <w:jc w:val="center"/>
        </w:trPr>
        <w:tc>
          <w:tcPr>
            <w:tcW w:w="501" w:type="dxa"/>
            <w:vMerge/>
            <w:vAlign w:val="center"/>
          </w:tcPr>
          <w:p w14:paraId="74229116" w14:textId="1FA6D2AE" w:rsidR="00A3772D" w:rsidRPr="00A3772D" w:rsidRDefault="00A3772D" w:rsidP="00A3772D">
            <w:pPr>
              <w:ind w:firstLine="420"/>
              <w:jc w:val="left"/>
              <w:rPr>
                <w:rFonts w:ascii="宋体" w:hAnsi="宋体"/>
                <w:bCs/>
                <w:szCs w:val="21"/>
              </w:rPr>
            </w:pPr>
          </w:p>
        </w:tc>
        <w:tc>
          <w:tcPr>
            <w:tcW w:w="1667" w:type="dxa"/>
            <w:vAlign w:val="center"/>
          </w:tcPr>
          <w:p w14:paraId="6D24DC1F" w14:textId="77777777" w:rsidR="00A3772D" w:rsidRPr="00A3772D" w:rsidRDefault="00A3772D" w:rsidP="00A3772D">
            <w:pPr>
              <w:ind w:firstLineChars="0" w:firstLine="0"/>
              <w:jc w:val="left"/>
              <w:rPr>
                <w:rFonts w:ascii="宋体" w:hAnsi="宋体"/>
                <w:bCs/>
                <w:szCs w:val="21"/>
              </w:rPr>
            </w:pPr>
            <w:r w:rsidRPr="00A3772D">
              <w:rPr>
                <w:rFonts w:ascii="宋体" w:hAnsi="宋体"/>
                <w:bCs/>
                <w:szCs w:val="21"/>
              </w:rPr>
              <w:t>转炉煤气</w:t>
            </w:r>
          </w:p>
        </w:tc>
        <w:tc>
          <w:tcPr>
            <w:tcW w:w="1134" w:type="dxa"/>
            <w:vAlign w:val="center"/>
          </w:tcPr>
          <w:p w14:paraId="3A1D7717" w14:textId="77777777" w:rsidR="00A3772D" w:rsidRPr="00A3772D" w:rsidRDefault="00A3772D" w:rsidP="00A3772D">
            <w:pPr>
              <w:ind w:firstLineChars="0" w:firstLine="0"/>
              <w:jc w:val="left"/>
              <w:rPr>
                <w:rFonts w:ascii="宋体" w:hAnsi="宋体"/>
                <w:bCs/>
                <w:szCs w:val="21"/>
              </w:rPr>
            </w:pPr>
            <w:r w:rsidRPr="00A3772D">
              <w:rPr>
                <w:rFonts w:ascii="宋体" w:hAnsi="宋体"/>
                <w:bCs/>
                <w:szCs w:val="21"/>
              </w:rPr>
              <w:t>10</w:t>
            </w:r>
            <w:r w:rsidRPr="00A3772D">
              <w:rPr>
                <w:rFonts w:ascii="宋体" w:hAnsi="宋体"/>
                <w:bCs/>
                <w:szCs w:val="21"/>
                <w:vertAlign w:val="superscript"/>
              </w:rPr>
              <w:t>4</w:t>
            </w:r>
            <w:r w:rsidRPr="00A3772D">
              <w:rPr>
                <w:rFonts w:ascii="宋体" w:hAnsi="宋体"/>
                <w:bCs/>
                <w:szCs w:val="21"/>
              </w:rPr>
              <w:t>m</w:t>
            </w:r>
            <w:r w:rsidRPr="00A3772D">
              <w:rPr>
                <w:rFonts w:ascii="宋体" w:hAnsi="宋体"/>
                <w:bCs/>
                <w:szCs w:val="21"/>
                <w:vertAlign w:val="superscript"/>
              </w:rPr>
              <w:t>3</w:t>
            </w:r>
          </w:p>
        </w:tc>
        <w:tc>
          <w:tcPr>
            <w:tcW w:w="2268" w:type="dxa"/>
            <w:vAlign w:val="center"/>
          </w:tcPr>
          <w:p w14:paraId="176E8181" w14:textId="77777777" w:rsidR="00A3772D" w:rsidRPr="00A3772D" w:rsidRDefault="00A3772D" w:rsidP="00A3772D">
            <w:pPr>
              <w:ind w:firstLineChars="0" w:firstLine="0"/>
              <w:jc w:val="left"/>
              <w:rPr>
                <w:rFonts w:ascii="宋体" w:hAnsi="宋体"/>
                <w:szCs w:val="21"/>
              </w:rPr>
            </w:pPr>
            <w:r w:rsidRPr="00A3772D">
              <w:rPr>
                <w:rFonts w:ascii="宋体" w:hAnsi="宋体"/>
                <w:szCs w:val="21"/>
              </w:rPr>
              <w:t>84.00</w:t>
            </w:r>
            <w:r w:rsidRPr="00A3772D">
              <w:rPr>
                <w:rFonts w:ascii="宋体" w:hAnsi="宋体"/>
                <w:szCs w:val="21"/>
                <w:vertAlign w:val="superscript"/>
              </w:rPr>
              <w:t xml:space="preserve"> d</w:t>
            </w:r>
          </w:p>
        </w:tc>
        <w:tc>
          <w:tcPr>
            <w:tcW w:w="1843" w:type="dxa"/>
            <w:vAlign w:val="center"/>
          </w:tcPr>
          <w:p w14:paraId="056AE4AB" w14:textId="77777777" w:rsidR="00A3772D" w:rsidRPr="00A3772D" w:rsidRDefault="00A3772D" w:rsidP="00A3772D">
            <w:pPr>
              <w:pStyle w:val="Default"/>
              <w:rPr>
                <w:rFonts w:ascii="宋体" w:hAnsi="宋体"/>
                <w:sz w:val="21"/>
                <w:szCs w:val="21"/>
              </w:rPr>
            </w:pPr>
            <w:r w:rsidRPr="00A3772D">
              <w:rPr>
                <w:rFonts w:ascii="宋体" w:hAnsi="宋体"/>
                <w:sz w:val="21"/>
                <w:szCs w:val="21"/>
              </w:rPr>
              <w:t>49.60</w:t>
            </w:r>
            <w:r w:rsidRPr="00A3772D">
              <w:rPr>
                <w:rFonts w:ascii="宋体" w:hAnsi="宋体"/>
                <w:sz w:val="21"/>
                <w:szCs w:val="21"/>
                <w:vertAlign w:val="superscript"/>
              </w:rPr>
              <w:t>d</w:t>
            </w:r>
            <w:r w:rsidRPr="00A3772D">
              <w:rPr>
                <w:rFonts w:ascii="宋体" w:hAnsi="宋体"/>
                <w:sz w:val="21"/>
                <w:szCs w:val="21"/>
              </w:rPr>
              <w:t>×10</w:t>
            </w:r>
            <w:r w:rsidRPr="00A3772D">
              <w:rPr>
                <w:rFonts w:ascii="宋体" w:hAnsi="宋体"/>
                <w:sz w:val="21"/>
                <w:szCs w:val="21"/>
                <w:vertAlign w:val="superscript"/>
              </w:rPr>
              <w:t>-3</w:t>
            </w:r>
          </w:p>
        </w:tc>
        <w:tc>
          <w:tcPr>
            <w:tcW w:w="1984" w:type="dxa"/>
            <w:gridSpan w:val="2"/>
            <w:vAlign w:val="center"/>
          </w:tcPr>
          <w:p w14:paraId="70D32D70" w14:textId="77777777" w:rsidR="00A3772D" w:rsidRPr="00A3772D" w:rsidRDefault="00A3772D" w:rsidP="00A3772D">
            <w:pPr>
              <w:ind w:firstLineChars="0" w:firstLine="0"/>
              <w:jc w:val="left"/>
              <w:rPr>
                <w:rFonts w:ascii="宋体" w:hAnsi="宋体"/>
                <w:szCs w:val="21"/>
              </w:rPr>
            </w:pPr>
            <w:r w:rsidRPr="00A3772D">
              <w:rPr>
                <w:rFonts w:ascii="宋体" w:hAnsi="宋体"/>
                <w:szCs w:val="21"/>
              </w:rPr>
              <w:t>99</w:t>
            </w:r>
            <w:r w:rsidRPr="00A3772D">
              <w:rPr>
                <w:rFonts w:ascii="宋体" w:hAnsi="宋体"/>
                <w:szCs w:val="21"/>
                <w:vertAlign w:val="superscript"/>
              </w:rPr>
              <w:t xml:space="preserve"> b</w:t>
            </w:r>
          </w:p>
        </w:tc>
      </w:tr>
      <w:tr w:rsidR="00A3772D" w:rsidRPr="00A3772D" w14:paraId="7E6DA208" w14:textId="77777777" w:rsidTr="00F85C56">
        <w:trPr>
          <w:trHeight w:val="397"/>
          <w:jc w:val="center"/>
        </w:trPr>
        <w:tc>
          <w:tcPr>
            <w:tcW w:w="501" w:type="dxa"/>
            <w:vMerge/>
            <w:vAlign w:val="center"/>
          </w:tcPr>
          <w:p w14:paraId="4C81D29A" w14:textId="4F141F51" w:rsidR="00A3772D" w:rsidRPr="00A3772D" w:rsidRDefault="00A3772D" w:rsidP="00A3772D">
            <w:pPr>
              <w:ind w:firstLineChars="0" w:firstLine="0"/>
              <w:jc w:val="left"/>
              <w:rPr>
                <w:rFonts w:ascii="宋体" w:hAnsi="宋体"/>
                <w:bCs/>
                <w:szCs w:val="21"/>
              </w:rPr>
            </w:pPr>
          </w:p>
        </w:tc>
        <w:tc>
          <w:tcPr>
            <w:tcW w:w="1667" w:type="dxa"/>
            <w:vAlign w:val="center"/>
          </w:tcPr>
          <w:p w14:paraId="2B792F05" w14:textId="77777777" w:rsidR="00A3772D" w:rsidRPr="00A3772D" w:rsidRDefault="00A3772D" w:rsidP="00A3772D">
            <w:pPr>
              <w:ind w:firstLineChars="0" w:firstLine="0"/>
              <w:jc w:val="left"/>
              <w:rPr>
                <w:rFonts w:ascii="宋体" w:hAnsi="宋体"/>
                <w:bCs/>
                <w:szCs w:val="21"/>
              </w:rPr>
            </w:pPr>
            <w:r w:rsidRPr="00A3772D">
              <w:rPr>
                <w:rFonts w:ascii="宋体" w:hAnsi="宋体"/>
                <w:bCs/>
                <w:szCs w:val="21"/>
              </w:rPr>
              <w:t>天然气</w:t>
            </w:r>
          </w:p>
        </w:tc>
        <w:tc>
          <w:tcPr>
            <w:tcW w:w="1134" w:type="dxa"/>
            <w:vAlign w:val="center"/>
          </w:tcPr>
          <w:p w14:paraId="630D9AD2" w14:textId="77777777" w:rsidR="00A3772D" w:rsidRPr="00A3772D" w:rsidRDefault="00A3772D" w:rsidP="00A3772D">
            <w:pPr>
              <w:ind w:firstLineChars="0" w:firstLine="0"/>
              <w:jc w:val="left"/>
              <w:rPr>
                <w:rFonts w:ascii="宋体" w:hAnsi="宋体"/>
                <w:bCs/>
                <w:szCs w:val="21"/>
              </w:rPr>
            </w:pPr>
            <w:r w:rsidRPr="00A3772D">
              <w:rPr>
                <w:rFonts w:ascii="宋体" w:hAnsi="宋体"/>
                <w:bCs/>
                <w:szCs w:val="21"/>
              </w:rPr>
              <w:t>10</w:t>
            </w:r>
            <w:r w:rsidRPr="00A3772D">
              <w:rPr>
                <w:rFonts w:ascii="宋体" w:hAnsi="宋体"/>
                <w:bCs/>
                <w:szCs w:val="21"/>
                <w:vertAlign w:val="superscript"/>
              </w:rPr>
              <w:t>4</w:t>
            </w:r>
            <w:r w:rsidRPr="00A3772D">
              <w:rPr>
                <w:rFonts w:ascii="宋体" w:hAnsi="宋体"/>
                <w:bCs/>
                <w:szCs w:val="21"/>
              </w:rPr>
              <w:t>m</w:t>
            </w:r>
            <w:r w:rsidRPr="00A3772D">
              <w:rPr>
                <w:rFonts w:ascii="宋体" w:hAnsi="宋体"/>
                <w:bCs/>
                <w:szCs w:val="21"/>
                <w:vertAlign w:val="superscript"/>
              </w:rPr>
              <w:t>3</w:t>
            </w:r>
          </w:p>
        </w:tc>
        <w:tc>
          <w:tcPr>
            <w:tcW w:w="2268" w:type="dxa"/>
            <w:vAlign w:val="center"/>
          </w:tcPr>
          <w:p w14:paraId="1BF9597C" w14:textId="77777777" w:rsidR="00A3772D" w:rsidRPr="00A3772D" w:rsidRDefault="00A3772D" w:rsidP="00A3772D">
            <w:pPr>
              <w:ind w:firstLineChars="0" w:firstLine="0"/>
              <w:jc w:val="left"/>
              <w:rPr>
                <w:rFonts w:ascii="宋体" w:hAnsi="宋体"/>
                <w:szCs w:val="21"/>
              </w:rPr>
            </w:pPr>
            <w:r w:rsidRPr="00A3772D">
              <w:rPr>
                <w:rFonts w:ascii="宋体" w:hAnsi="宋体"/>
                <w:szCs w:val="21"/>
              </w:rPr>
              <w:t>389.31</w:t>
            </w:r>
            <w:r w:rsidRPr="00A3772D">
              <w:rPr>
                <w:rFonts w:ascii="宋体" w:hAnsi="宋体"/>
                <w:szCs w:val="21"/>
                <w:vertAlign w:val="superscript"/>
              </w:rPr>
              <w:t xml:space="preserve"> a</w:t>
            </w:r>
          </w:p>
        </w:tc>
        <w:tc>
          <w:tcPr>
            <w:tcW w:w="1843" w:type="dxa"/>
            <w:vAlign w:val="center"/>
          </w:tcPr>
          <w:p w14:paraId="47EAB2CD" w14:textId="77777777" w:rsidR="00A3772D" w:rsidRPr="00A3772D" w:rsidRDefault="00A3772D" w:rsidP="00A3772D">
            <w:pPr>
              <w:pStyle w:val="Default"/>
              <w:rPr>
                <w:rFonts w:ascii="宋体" w:hAnsi="宋体"/>
                <w:sz w:val="21"/>
                <w:szCs w:val="21"/>
              </w:rPr>
            </w:pPr>
            <w:r w:rsidRPr="00A3772D">
              <w:rPr>
                <w:rFonts w:ascii="宋体" w:hAnsi="宋体"/>
                <w:sz w:val="21"/>
                <w:szCs w:val="21"/>
              </w:rPr>
              <w:t>15.3</w:t>
            </w:r>
            <w:r w:rsidRPr="00A3772D">
              <w:rPr>
                <w:rFonts w:ascii="宋体" w:hAnsi="宋体"/>
                <w:sz w:val="21"/>
                <w:szCs w:val="21"/>
                <w:vertAlign w:val="superscript"/>
              </w:rPr>
              <w:t>b</w:t>
            </w:r>
            <w:r w:rsidRPr="00A3772D">
              <w:rPr>
                <w:rFonts w:ascii="宋体" w:hAnsi="宋体"/>
                <w:sz w:val="21"/>
                <w:szCs w:val="21"/>
              </w:rPr>
              <w:t>×10</w:t>
            </w:r>
            <w:r w:rsidRPr="00A3772D">
              <w:rPr>
                <w:rFonts w:ascii="宋体" w:hAnsi="宋体"/>
                <w:sz w:val="21"/>
                <w:szCs w:val="21"/>
                <w:vertAlign w:val="superscript"/>
              </w:rPr>
              <w:t>-3</w:t>
            </w:r>
          </w:p>
        </w:tc>
        <w:tc>
          <w:tcPr>
            <w:tcW w:w="1984" w:type="dxa"/>
            <w:gridSpan w:val="2"/>
            <w:vAlign w:val="center"/>
          </w:tcPr>
          <w:p w14:paraId="11DA4AA0" w14:textId="77777777" w:rsidR="00A3772D" w:rsidRPr="00A3772D" w:rsidRDefault="00A3772D" w:rsidP="00A3772D">
            <w:pPr>
              <w:ind w:firstLineChars="0" w:firstLine="0"/>
              <w:jc w:val="left"/>
              <w:rPr>
                <w:rFonts w:ascii="宋体" w:hAnsi="宋体"/>
                <w:szCs w:val="21"/>
              </w:rPr>
            </w:pPr>
            <w:r w:rsidRPr="00A3772D">
              <w:rPr>
                <w:rFonts w:ascii="宋体" w:hAnsi="宋体"/>
                <w:szCs w:val="21"/>
              </w:rPr>
              <w:t>99</w:t>
            </w:r>
            <w:r w:rsidRPr="00A3772D">
              <w:rPr>
                <w:rFonts w:ascii="宋体" w:hAnsi="宋体"/>
                <w:szCs w:val="21"/>
                <w:vertAlign w:val="superscript"/>
              </w:rPr>
              <w:t xml:space="preserve"> b</w:t>
            </w:r>
          </w:p>
        </w:tc>
      </w:tr>
    </w:tbl>
    <w:p w14:paraId="71F889A6" w14:textId="5922EC3D" w:rsidR="00B218D5" w:rsidRDefault="00B218D5" w:rsidP="007B01C3">
      <w:pPr>
        <w:widowControl/>
        <w:ind w:firstLineChars="0" w:firstLine="0"/>
        <w:jc w:val="center"/>
        <w:rPr>
          <w:b/>
          <w:szCs w:val="21"/>
        </w:rPr>
      </w:pPr>
    </w:p>
    <w:p w14:paraId="62A1C281" w14:textId="77777777" w:rsidR="002440C8" w:rsidRPr="00746871" w:rsidRDefault="008873DB" w:rsidP="002440C8">
      <w:pPr>
        <w:pStyle w:val="afa"/>
        <w:widowControl/>
        <w:ind w:left="420" w:firstLineChars="0" w:firstLine="0"/>
        <w:jc w:val="left"/>
        <w:rPr>
          <w:rFonts w:ascii="宋体" w:hAnsi="宋体" w:cstheme="minorBidi"/>
          <w:szCs w:val="22"/>
        </w:rPr>
      </w:pPr>
      <w:r w:rsidRPr="00746871">
        <w:rPr>
          <w:rFonts w:ascii="宋体" w:hAnsi="宋体" w:cstheme="minorBidi" w:hint="eastAsia"/>
          <w:szCs w:val="22"/>
        </w:rPr>
        <w:t>数据来源：</w:t>
      </w:r>
    </w:p>
    <w:p w14:paraId="7A353334" w14:textId="77777777" w:rsidR="005C2C23" w:rsidRPr="005C2C23" w:rsidRDefault="005C2C23" w:rsidP="005C2C23">
      <w:pPr>
        <w:pStyle w:val="afa"/>
        <w:widowControl/>
        <w:numPr>
          <w:ilvl w:val="0"/>
          <w:numId w:val="41"/>
        </w:numPr>
        <w:ind w:firstLineChars="0"/>
        <w:jc w:val="left"/>
        <w:rPr>
          <w:rFonts w:ascii="宋体" w:hAnsi="宋体" w:cstheme="minorBidi"/>
          <w:szCs w:val="22"/>
        </w:rPr>
      </w:pPr>
      <w:r w:rsidRPr="005C2C23">
        <w:rPr>
          <w:rFonts w:ascii="宋体" w:hAnsi="宋体" w:cstheme="minorBidi" w:hint="eastAsia"/>
          <w:szCs w:val="22"/>
        </w:rPr>
        <w:t>《中国能源统计年鉴2013》，</w:t>
      </w:r>
    </w:p>
    <w:p w14:paraId="65FA5C95" w14:textId="4AFB1427" w:rsidR="005C2C23" w:rsidRPr="005C2C23" w:rsidRDefault="005C2C23" w:rsidP="005C2C23">
      <w:pPr>
        <w:pStyle w:val="afa"/>
        <w:widowControl/>
        <w:numPr>
          <w:ilvl w:val="0"/>
          <w:numId w:val="41"/>
        </w:numPr>
        <w:ind w:firstLineChars="0"/>
        <w:jc w:val="left"/>
        <w:rPr>
          <w:rFonts w:ascii="宋体" w:hAnsi="宋体" w:cstheme="minorBidi"/>
          <w:szCs w:val="22"/>
        </w:rPr>
      </w:pPr>
      <w:r w:rsidRPr="005C2C23">
        <w:rPr>
          <w:rFonts w:ascii="宋体" w:hAnsi="宋体" w:cstheme="minorBidi" w:hint="eastAsia"/>
          <w:szCs w:val="22"/>
        </w:rPr>
        <w:t>《省级温室气体清单指南（试行）》，</w:t>
      </w:r>
    </w:p>
    <w:p w14:paraId="50BEA25C" w14:textId="1D41037F" w:rsidR="005C2C23" w:rsidRPr="005C2C23" w:rsidRDefault="005C2C23" w:rsidP="005C2C23">
      <w:pPr>
        <w:pStyle w:val="afa"/>
        <w:widowControl/>
        <w:numPr>
          <w:ilvl w:val="0"/>
          <w:numId w:val="41"/>
        </w:numPr>
        <w:ind w:firstLineChars="0"/>
        <w:jc w:val="left"/>
        <w:rPr>
          <w:rFonts w:ascii="宋体" w:hAnsi="宋体" w:cstheme="minorBidi"/>
          <w:szCs w:val="22"/>
        </w:rPr>
      </w:pPr>
      <w:r w:rsidRPr="005C2C23">
        <w:rPr>
          <w:rFonts w:ascii="宋体" w:hAnsi="宋体" w:cstheme="minorBidi" w:hint="eastAsia"/>
          <w:szCs w:val="22"/>
        </w:rPr>
        <w:t>《2006年 IPCC 国家温室气体清单指南》，</w:t>
      </w:r>
    </w:p>
    <w:p w14:paraId="3C678248" w14:textId="622FE51E" w:rsidR="005C2C23" w:rsidRPr="005C2C23" w:rsidRDefault="005C2C23" w:rsidP="005C2C23">
      <w:pPr>
        <w:pStyle w:val="afa"/>
        <w:widowControl/>
        <w:numPr>
          <w:ilvl w:val="0"/>
          <w:numId w:val="41"/>
        </w:numPr>
        <w:ind w:firstLineChars="0"/>
        <w:jc w:val="left"/>
        <w:rPr>
          <w:rFonts w:ascii="宋体" w:hAnsi="宋体" w:cstheme="minorBidi"/>
          <w:szCs w:val="22"/>
        </w:rPr>
      </w:pPr>
      <w:r w:rsidRPr="005C2C23">
        <w:rPr>
          <w:rFonts w:ascii="宋体" w:hAnsi="宋体" w:cstheme="minorBidi" w:hint="eastAsia"/>
          <w:szCs w:val="22"/>
        </w:rPr>
        <w:t>《中国温室气体清单研究》（2005），</w:t>
      </w:r>
    </w:p>
    <w:p w14:paraId="33898916" w14:textId="6275A2C3" w:rsidR="007B01C3" w:rsidRPr="00746871" w:rsidRDefault="005C2C23" w:rsidP="005C2C23">
      <w:pPr>
        <w:pStyle w:val="afa"/>
        <w:widowControl/>
        <w:numPr>
          <w:ilvl w:val="0"/>
          <w:numId w:val="41"/>
        </w:numPr>
        <w:ind w:firstLineChars="0"/>
        <w:jc w:val="left"/>
        <w:rPr>
          <w:rFonts w:asciiTheme="minorHAnsi" w:eastAsiaTheme="minorEastAsia" w:hAnsiTheme="minorHAnsi" w:cstheme="minorBidi"/>
          <w:szCs w:val="22"/>
        </w:rPr>
      </w:pPr>
      <w:r w:rsidRPr="005C2C23">
        <w:rPr>
          <w:rFonts w:ascii="宋体" w:hAnsi="宋体" w:cstheme="minorBidi" w:hint="eastAsia"/>
          <w:szCs w:val="22"/>
        </w:rPr>
        <w:t>《能源统计报表制度》</w:t>
      </w:r>
      <w:r w:rsidR="00C93BA4" w:rsidRPr="00746871">
        <w:rPr>
          <w:rFonts w:ascii="宋体" w:hAnsi="宋体" w:cstheme="minorBidi" w:hint="eastAsia"/>
          <w:szCs w:val="22"/>
        </w:rPr>
        <w:t>。</w:t>
      </w:r>
      <w:r w:rsidR="007B01C3" w:rsidRPr="00746871">
        <w:rPr>
          <w:rFonts w:asciiTheme="minorHAnsi" w:eastAsiaTheme="minorEastAsia" w:hAnsiTheme="minorHAnsi" w:cstheme="minorBidi"/>
          <w:szCs w:val="22"/>
        </w:rPr>
        <w:br w:type="page"/>
      </w:r>
    </w:p>
    <w:p w14:paraId="29BA8CF5" w14:textId="5C9D58FC" w:rsidR="00887CBE" w:rsidRPr="00746871" w:rsidRDefault="00887CBE" w:rsidP="007B01C3">
      <w:pPr>
        <w:widowControl/>
        <w:ind w:firstLineChars="0" w:firstLine="0"/>
        <w:jc w:val="left"/>
        <w:rPr>
          <w:rFonts w:asciiTheme="minorHAnsi" w:eastAsiaTheme="minorEastAsia" w:hAnsiTheme="minorHAnsi" w:cstheme="minorBidi"/>
          <w:szCs w:val="22"/>
        </w:rPr>
      </w:pPr>
    </w:p>
    <w:p w14:paraId="43F9AADC" w14:textId="77777777" w:rsidR="007B01C3" w:rsidRPr="00746871" w:rsidRDefault="007B01C3" w:rsidP="007B01C3">
      <w:pPr>
        <w:widowControl/>
        <w:ind w:firstLineChars="0" w:firstLine="0"/>
        <w:jc w:val="left"/>
        <w:rPr>
          <w:rFonts w:asciiTheme="minorHAnsi" w:eastAsiaTheme="minorEastAsia" w:hAnsiTheme="minorHAnsi" w:cstheme="minorBidi"/>
          <w:szCs w:val="22"/>
        </w:rPr>
      </w:pPr>
    </w:p>
    <w:p w14:paraId="7DAB6B58" w14:textId="4964B785" w:rsidR="00223629" w:rsidRPr="00746871" w:rsidRDefault="00223629" w:rsidP="00223629">
      <w:pPr>
        <w:pStyle w:val="a1"/>
        <w:numPr>
          <w:ilvl w:val="0"/>
          <w:numId w:val="0"/>
        </w:numPr>
        <w:jc w:val="center"/>
        <w:outlineLvl w:val="0"/>
      </w:pPr>
      <w:r w:rsidRPr="00746871">
        <w:rPr>
          <w:rFonts w:hint="eastAsia"/>
        </w:rPr>
        <w:t>附录</w:t>
      </w:r>
      <w:r w:rsidR="007B01C3" w:rsidRPr="00746871">
        <w:t>D</w:t>
      </w:r>
    </w:p>
    <w:p w14:paraId="344212C5" w14:textId="77777777" w:rsidR="00223629" w:rsidRPr="00746871" w:rsidRDefault="00223629" w:rsidP="00223629">
      <w:pPr>
        <w:pStyle w:val="a9"/>
        <w:jc w:val="center"/>
        <w:rPr>
          <w:rFonts w:ascii="黑体" w:eastAsia="黑体" w:hAnsi="Times New Roman" w:cs="Times New Roman"/>
          <w:kern w:val="0"/>
          <w:szCs w:val="20"/>
        </w:rPr>
      </w:pPr>
      <w:r w:rsidRPr="00746871">
        <w:rPr>
          <w:rFonts w:ascii="黑体" w:eastAsia="黑体" w:hAnsi="Times New Roman" w:cs="Times New Roman" w:hint="eastAsia"/>
          <w:kern w:val="0"/>
          <w:szCs w:val="20"/>
        </w:rPr>
        <w:t>（资料性附录）</w:t>
      </w:r>
    </w:p>
    <w:p w14:paraId="65D6D686" w14:textId="77777777" w:rsidR="00223629" w:rsidRPr="00746871" w:rsidRDefault="00223629" w:rsidP="00223629">
      <w:pPr>
        <w:ind w:firstLine="420"/>
        <w:jc w:val="center"/>
        <w:rPr>
          <w:rFonts w:ascii="黑体" w:eastAsia="黑体"/>
          <w:kern w:val="0"/>
          <w:szCs w:val="20"/>
        </w:rPr>
      </w:pPr>
      <w:bookmarkStart w:id="95" w:name="_Toc17464329"/>
      <w:r w:rsidRPr="00746871">
        <w:rPr>
          <w:rFonts w:ascii="黑体" w:eastAsia="黑体" w:hint="eastAsia"/>
          <w:kern w:val="0"/>
          <w:szCs w:val="20"/>
        </w:rPr>
        <w:t>不确定性量化方法</w:t>
      </w:r>
      <w:bookmarkEnd w:id="95"/>
    </w:p>
    <w:p w14:paraId="7DF0AD0A" w14:textId="77777777" w:rsidR="00223629" w:rsidRPr="00746871" w:rsidRDefault="00223629" w:rsidP="00223629">
      <w:pPr>
        <w:ind w:firstLine="420"/>
        <w:jc w:val="center"/>
      </w:pPr>
    </w:p>
    <w:p w14:paraId="152B5B16" w14:textId="24E12080" w:rsidR="00223629" w:rsidRPr="00746871" w:rsidRDefault="00223629" w:rsidP="00223629">
      <w:pPr>
        <w:ind w:firstLine="420"/>
      </w:pPr>
      <w:r w:rsidRPr="00746871">
        <w:rPr>
          <w:rFonts w:hint="eastAsia"/>
        </w:rPr>
        <w:t>排放量不确定性的来源主要由监测设备所带有的不确定性、设备维护管理带来的不确定性、操作人员实际工作中附加的不确定性和操作环境带来的不确定性。对于某一监测参数，可以量化的不确定性只有监测所使用设备带来的，因此在实际的计算过程中可只考虑设备的精度；对于排放源的不确定性和整个清单的不确定性，应采用误差传递公式进行计算。当不确定量由乘法合并时，排放量的不确定性按式</w:t>
      </w:r>
      <w:r w:rsidR="00C74BE5">
        <w:t>D</w:t>
      </w:r>
      <w:r w:rsidRPr="00746871">
        <w:t>.1</w:t>
      </w:r>
      <w:r w:rsidRPr="00746871">
        <w:rPr>
          <w:rFonts w:hint="eastAsia"/>
        </w:rPr>
        <w:t>计算。</w:t>
      </w:r>
    </w:p>
    <w:p w14:paraId="3B52179C" w14:textId="138546A3" w:rsidR="00223629" w:rsidRPr="00746871" w:rsidRDefault="008A440C" w:rsidP="00223629">
      <w:pPr>
        <w:ind w:firstLine="420"/>
        <w:jc w:val="center"/>
      </w:pPr>
      <m:oMath>
        <m:sSub>
          <m:sSubPr>
            <m:ctrlPr>
              <w:rPr>
                <w:rFonts w:ascii="Cambria Math" w:hAnsi="Cambria Math"/>
              </w:rPr>
            </m:ctrlPr>
          </m:sSubPr>
          <m:e>
            <m:r>
              <w:rPr>
                <w:rFonts w:ascii="Cambria Math" w:hAnsi="Cambria Math"/>
              </w:rPr>
              <m:t>U</m:t>
            </m:r>
          </m:e>
          <m:sub>
            <m:r>
              <w:rPr>
                <w:rFonts w:ascii="Cambria Math" w:hAnsi="Cambria Math" w:hint="eastAsia"/>
              </w:rPr>
              <m:t>total</m:t>
            </m:r>
            <m:r>
              <w:rPr>
                <w:rFonts w:ascii="Cambria Math" w:hAnsi="Cambria Math"/>
              </w:rPr>
              <m:t>1</m:t>
            </m:r>
          </m:sub>
        </m:sSub>
        <m:r>
          <w:rPr>
            <w:rFonts w:ascii="Cambria Math" w:hAnsi="Cambria Math" w:hint="eastAsia"/>
          </w:rPr>
          <m:t>=</m:t>
        </m:r>
        <m:rad>
          <m:radPr>
            <m:degHide m:val="1"/>
            <m:ctrlPr>
              <w:rPr>
                <w:rFonts w:ascii="Cambria Math" w:hAnsi="Cambria Math"/>
                <w:i/>
              </w:rPr>
            </m:ctrlPr>
          </m:radPr>
          <m:deg/>
          <m:e>
            <m:sSup>
              <m:sSupPr>
                <m:ctrlPr>
                  <w:rPr>
                    <w:rFonts w:ascii="Cambria Math" w:hAnsi="Cambria Math"/>
                    <w:i/>
                  </w:rPr>
                </m:ctrlPr>
              </m:sSupPr>
              <m:e>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1</m:t>
                        </m:r>
                      </m:sub>
                    </m:sSub>
                  </m:e>
                  <m:sup>
                    <m:r>
                      <w:rPr>
                        <w:rFonts w:ascii="Cambria Math" w:hAnsi="Cambria Math"/>
                      </w:rPr>
                      <m:t>2</m:t>
                    </m:r>
                  </m:sup>
                </m:sSup>
                <m:sSub>
                  <m:sSubPr>
                    <m:ctrlPr>
                      <w:rPr>
                        <w:rFonts w:ascii="Cambria Math" w:hAnsi="Cambria Math"/>
                        <w:i/>
                      </w:rPr>
                    </m:ctrlPr>
                  </m:sSubPr>
                  <m:e>
                    <m:r>
                      <w:rPr>
                        <w:rFonts w:ascii="Cambria Math" w:hAnsi="Cambria Math" w:hint="eastAsia"/>
                      </w:rPr>
                      <m:t>+</m:t>
                    </m:r>
                    <m:sSup>
                      <m:sSupPr>
                        <m:ctrlPr>
                          <w:rPr>
                            <w:rFonts w:ascii="Cambria Math" w:hAnsi="Cambria Math"/>
                            <w:i/>
                          </w:rPr>
                        </m:ctrlPr>
                      </m:sSupPr>
                      <m:e>
                        <m:sSub>
                          <m:sSubPr>
                            <m:ctrlPr>
                              <w:rPr>
                                <w:rFonts w:ascii="Cambria Math" w:hAnsi="Cambria Math"/>
                                <w:i/>
                              </w:rPr>
                            </m:ctrlPr>
                          </m:sSubPr>
                          <m:e>
                            <m:r>
                              <w:rPr>
                                <w:rFonts w:ascii="Cambria Math" w:hAnsi="Cambria Math"/>
                              </w:rPr>
                              <m:t>U</m:t>
                            </m:r>
                          </m:e>
                          <m:sub>
                            <m:r>
                              <w:rPr>
                                <w:rFonts w:ascii="Cambria Math" w:hAnsi="Cambria Math"/>
                              </w:rPr>
                              <m:t>2</m:t>
                            </m:r>
                          </m:sub>
                        </m:sSub>
                      </m:e>
                      <m:sup>
                        <m:r>
                          <w:rPr>
                            <w:rFonts w:ascii="Cambria Math" w:hAnsi="Cambria Math"/>
                          </w:rPr>
                          <m:t>2</m:t>
                        </m:r>
                      </m:sup>
                    </m:sSup>
                    <m:r>
                      <w:rPr>
                        <w:rFonts w:ascii="Cambria Math" w:hAnsi="Cambria Math" w:hint="eastAsia"/>
                      </w:rPr>
                      <m:t>+</m:t>
                    </m:r>
                    <m:r>
                      <w:rPr>
                        <w:rFonts w:ascii="Cambria Math" w:hAnsi="Cambria Math" w:hint="eastAsia"/>
                      </w:rPr>
                      <m:t>…</m:t>
                    </m:r>
                    <m:r>
                      <w:rPr>
                        <w:rFonts w:ascii="Cambria Math" w:hAnsi="Cambria Math" w:hint="eastAsia"/>
                      </w:rPr>
                      <m:t>+</m:t>
                    </m:r>
                    <m:r>
                      <w:rPr>
                        <w:rFonts w:ascii="Cambria Math" w:hAnsi="Cambria Math"/>
                      </w:rPr>
                      <m:t>U</m:t>
                    </m:r>
                  </m:e>
                  <m:sub>
                    <m:r>
                      <w:rPr>
                        <w:rFonts w:ascii="Cambria Math" w:hAnsi="Cambria Math" w:hint="eastAsia"/>
                      </w:rPr>
                      <m:t>n</m:t>
                    </m:r>
                  </m:sub>
                </m:sSub>
              </m:e>
              <m:sup>
                <m:r>
                  <w:rPr>
                    <w:rFonts w:ascii="Cambria Math" w:hAnsi="Cambria Math"/>
                  </w:rPr>
                  <m:t>2</m:t>
                </m:r>
              </m:sup>
            </m:sSup>
          </m:e>
        </m:rad>
      </m:oMath>
      <w:r w:rsidR="00223629" w:rsidRPr="00746871">
        <w:rPr>
          <w:rFonts w:hint="eastAsia"/>
        </w:rPr>
        <w:t xml:space="preserve"> </w:t>
      </w:r>
      <w:r w:rsidR="00223629" w:rsidRPr="00746871">
        <w:t xml:space="preserve">                 </w:t>
      </w:r>
      <w:r w:rsidR="00E6084C" w:rsidRPr="00746871">
        <w:rPr>
          <w:rFonts w:hint="eastAsia"/>
        </w:rPr>
        <w:t>（</w:t>
      </w:r>
      <w:r w:rsidR="00223629" w:rsidRPr="00746871">
        <w:rPr>
          <w:rFonts w:hint="eastAsia"/>
        </w:rPr>
        <w:t>式</w:t>
      </w:r>
      <w:r w:rsidR="00C74BE5">
        <w:t>D</w:t>
      </w:r>
      <w:r w:rsidR="00223629" w:rsidRPr="00746871">
        <w:t>.1</w:t>
      </w:r>
      <w:r w:rsidR="00E6084C" w:rsidRPr="00746871">
        <w:rPr>
          <w:rFonts w:hint="eastAsia"/>
        </w:rPr>
        <w:t>）</w:t>
      </w:r>
    </w:p>
    <w:p w14:paraId="5760937D" w14:textId="77777777" w:rsidR="00223629" w:rsidRPr="00746871" w:rsidRDefault="00223629" w:rsidP="00223629">
      <w:pPr>
        <w:ind w:firstLine="420"/>
        <w:jc w:val="left"/>
      </w:pPr>
      <w:r w:rsidRPr="00746871">
        <w:rPr>
          <w:rFonts w:hint="eastAsia"/>
        </w:rPr>
        <w:t>式中：</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
        <w:gridCol w:w="686"/>
        <w:gridCol w:w="7857"/>
      </w:tblGrid>
      <w:tr w:rsidR="00E6084C" w:rsidRPr="00746871" w14:paraId="05CB09B0" w14:textId="77777777" w:rsidTr="007D7667">
        <w:tc>
          <w:tcPr>
            <w:tcW w:w="729" w:type="dxa"/>
          </w:tcPr>
          <w:p w14:paraId="2F06F7C1" w14:textId="474B52E5" w:rsidR="00E6084C" w:rsidRPr="00746871" w:rsidRDefault="008A440C" w:rsidP="00D77731">
            <w:pPr>
              <w:ind w:firstLine="420"/>
              <w:jc w:val="left"/>
            </w:pPr>
            <m:oMathPara>
              <m:oMathParaPr>
                <m:jc m:val="left"/>
              </m:oMathParaPr>
              <m:oMath>
                <m:sSub>
                  <m:sSubPr>
                    <m:ctrlPr>
                      <w:rPr>
                        <w:rFonts w:ascii="Cambria Math" w:hAnsi="Cambria Math"/>
                      </w:rPr>
                    </m:ctrlPr>
                  </m:sSubPr>
                  <m:e>
                    <m:r>
                      <w:rPr>
                        <w:rFonts w:ascii="Cambria Math" w:hAnsi="Cambria Math"/>
                      </w:rPr>
                      <m:t>U</m:t>
                    </m:r>
                  </m:e>
                  <m:sub>
                    <m:r>
                      <w:rPr>
                        <w:rFonts w:ascii="Cambria Math" w:hAnsi="Cambria Math" w:hint="eastAsia"/>
                      </w:rPr>
                      <m:t>total</m:t>
                    </m:r>
                    <m:r>
                      <w:rPr>
                        <w:rFonts w:ascii="Cambria Math" w:hAnsi="Cambria Math"/>
                      </w:rPr>
                      <m:t>1</m:t>
                    </m:r>
                  </m:sub>
                </m:sSub>
              </m:oMath>
            </m:oMathPara>
          </w:p>
        </w:tc>
        <w:tc>
          <w:tcPr>
            <w:tcW w:w="689" w:type="dxa"/>
          </w:tcPr>
          <w:p w14:paraId="6117AA54" w14:textId="5AB423C1" w:rsidR="00E6084C" w:rsidRPr="00746871" w:rsidRDefault="00E6084C" w:rsidP="007D7667">
            <w:pPr>
              <w:ind w:firstLineChars="0" w:firstLine="0"/>
              <w:jc w:val="left"/>
            </w:pPr>
            <w:r w:rsidRPr="00746871">
              <w:rPr>
                <w:rFonts w:hint="eastAsia"/>
              </w:rPr>
              <w:t>——</w:t>
            </w:r>
          </w:p>
        </w:tc>
        <w:tc>
          <w:tcPr>
            <w:tcW w:w="7936" w:type="dxa"/>
          </w:tcPr>
          <w:p w14:paraId="395B7CAF" w14:textId="3D96E68E" w:rsidR="00E6084C" w:rsidRPr="00746871" w:rsidRDefault="00E6084C" w:rsidP="007D7667">
            <w:pPr>
              <w:ind w:firstLineChars="0" w:firstLine="0"/>
              <w:jc w:val="left"/>
            </w:pPr>
            <w:r w:rsidRPr="00746871">
              <w:rPr>
                <w:rFonts w:hint="eastAsia"/>
              </w:rPr>
              <w:t>所有量乘积的百分比不确定性</w:t>
            </w:r>
          </w:p>
        </w:tc>
      </w:tr>
      <w:tr w:rsidR="00E6084C" w:rsidRPr="00746871" w14:paraId="439ACDDE" w14:textId="77777777" w:rsidTr="007D7667">
        <w:tc>
          <w:tcPr>
            <w:tcW w:w="729" w:type="dxa"/>
          </w:tcPr>
          <w:p w14:paraId="593F5CAF" w14:textId="77777777" w:rsidR="00E6084C" w:rsidRPr="00746871" w:rsidRDefault="008A440C" w:rsidP="00D77731">
            <w:pPr>
              <w:ind w:firstLine="420"/>
              <w:jc w:val="left"/>
            </w:pPr>
            <m:oMathPara>
              <m:oMathParaPr>
                <m:jc m:val="left"/>
              </m:oMathParaPr>
              <m:oMath>
                <m:sSub>
                  <m:sSubPr>
                    <m:ctrlPr>
                      <w:rPr>
                        <w:rFonts w:ascii="Cambria Math" w:hAnsi="Cambria Math"/>
                      </w:rPr>
                    </m:ctrlPr>
                  </m:sSubPr>
                  <m:e>
                    <m:r>
                      <w:rPr>
                        <w:rFonts w:ascii="Cambria Math" w:hAnsi="Cambria Math"/>
                      </w:rPr>
                      <m:t>U</m:t>
                    </m:r>
                  </m:e>
                  <m:sub>
                    <m:r>
                      <w:rPr>
                        <w:rFonts w:ascii="Cambria Math" w:hAnsi="Cambria Math" w:hint="eastAsia"/>
                      </w:rPr>
                      <m:t>n</m:t>
                    </m:r>
                  </m:sub>
                </m:sSub>
              </m:oMath>
            </m:oMathPara>
          </w:p>
        </w:tc>
        <w:tc>
          <w:tcPr>
            <w:tcW w:w="689" w:type="dxa"/>
          </w:tcPr>
          <w:p w14:paraId="468FA1E4" w14:textId="4BCC965A" w:rsidR="00E6084C" w:rsidRPr="00746871" w:rsidRDefault="00E6084C" w:rsidP="007D7667">
            <w:pPr>
              <w:ind w:firstLineChars="0" w:firstLine="0"/>
              <w:jc w:val="left"/>
            </w:pPr>
            <w:r w:rsidRPr="00746871">
              <w:rPr>
                <w:rFonts w:hint="eastAsia"/>
              </w:rPr>
              <w:t>——</w:t>
            </w:r>
          </w:p>
        </w:tc>
        <w:tc>
          <w:tcPr>
            <w:tcW w:w="7936" w:type="dxa"/>
          </w:tcPr>
          <w:p w14:paraId="6ED384CE" w14:textId="63EE4310" w:rsidR="00E6084C" w:rsidRPr="00746871" w:rsidRDefault="00E6084C" w:rsidP="007D7667">
            <w:pPr>
              <w:ind w:firstLineChars="0" w:firstLine="0"/>
              <w:jc w:val="left"/>
            </w:pPr>
            <w:r w:rsidRPr="00746871">
              <w:rPr>
                <w:rFonts w:hint="eastAsia"/>
              </w:rPr>
              <w:t>与每个量相关的百分比不确定性</w:t>
            </w:r>
          </w:p>
        </w:tc>
      </w:tr>
    </w:tbl>
    <w:p w14:paraId="24D8A161" w14:textId="77777777" w:rsidR="00223629" w:rsidRPr="00746871" w:rsidRDefault="00223629" w:rsidP="00223629">
      <w:pPr>
        <w:ind w:firstLine="420"/>
        <w:jc w:val="left"/>
      </w:pPr>
    </w:p>
    <w:p w14:paraId="25B3D703" w14:textId="003E1CF3" w:rsidR="00223629" w:rsidRPr="00746871" w:rsidRDefault="00223629" w:rsidP="00223629">
      <w:pPr>
        <w:ind w:firstLine="420"/>
      </w:pPr>
      <w:r w:rsidRPr="00746871">
        <w:rPr>
          <w:rFonts w:hint="eastAsia"/>
        </w:rPr>
        <w:t>当不确定量由加法或减法合并时，排放量的不确定性按式</w:t>
      </w:r>
      <w:r w:rsidR="007B01C3" w:rsidRPr="00746871">
        <w:t>D</w:t>
      </w:r>
      <w:r w:rsidRPr="00746871">
        <w:t>.2</w:t>
      </w:r>
      <w:r w:rsidRPr="00746871">
        <w:rPr>
          <w:rFonts w:hint="eastAsia"/>
        </w:rPr>
        <w:t>计算。</w:t>
      </w:r>
    </w:p>
    <w:p w14:paraId="7F4C6095" w14:textId="2FB7E659" w:rsidR="00223629" w:rsidRPr="00746871" w:rsidRDefault="008A440C" w:rsidP="00223629">
      <w:pPr>
        <w:ind w:firstLine="420"/>
        <w:jc w:val="center"/>
      </w:pPr>
      <m:oMath>
        <m:sSub>
          <m:sSubPr>
            <m:ctrlPr>
              <w:rPr>
                <w:rFonts w:ascii="Cambria Math" w:hAnsi="Cambria Math"/>
              </w:rPr>
            </m:ctrlPr>
          </m:sSubPr>
          <m:e>
            <m:r>
              <w:rPr>
                <w:rFonts w:ascii="Cambria Math" w:hAnsi="Cambria Math"/>
              </w:rPr>
              <m:t>U</m:t>
            </m:r>
          </m:e>
          <m:sub>
            <m:r>
              <w:rPr>
                <w:rFonts w:ascii="Cambria Math" w:hAnsi="Cambria Math" w:hint="eastAsia"/>
              </w:rPr>
              <m:t>total</m:t>
            </m:r>
            <m:r>
              <w:rPr>
                <w:rFonts w:ascii="Cambria Math" w:hAnsi="Cambria Math"/>
              </w:rPr>
              <m:t>2</m:t>
            </m:r>
          </m:sub>
        </m:sSub>
        <m:r>
          <w:rPr>
            <w:rFonts w:ascii="Cambria Math" w:hAnsi="Cambria Math" w:hint="eastAsia"/>
          </w:rPr>
          <m:t>=</m:t>
        </m:r>
        <m:f>
          <m:fPr>
            <m:ctrlPr>
              <w:rPr>
                <w:rFonts w:ascii="Cambria Math" w:hAnsi="Cambria Math"/>
                <w:i/>
              </w:rPr>
            </m:ctrlPr>
          </m:fPr>
          <m:num>
            <m:rad>
              <m:radPr>
                <m:degHide m:val="1"/>
                <m:ctrlPr>
                  <w:rPr>
                    <w:rFonts w:ascii="Cambria Math" w:hAnsi="Cambria Math"/>
                    <w:i/>
                  </w:rPr>
                </m:ctrlPr>
              </m:radPr>
              <m:deg/>
              <m:e>
                <m:sSup>
                  <m:sSupPr>
                    <m:ctrlPr>
                      <w:rPr>
                        <w:rFonts w:ascii="Cambria Math" w:hAnsi="Cambria Math"/>
                        <w:i/>
                      </w:rPr>
                    </m:ctrlPr>
                  </m:sSupPr>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e>
                        </m:d>
                      </m:e>
                      <m:sup>
                        <m:r>
                          <w:rPr>
                            <w:rFonts w:ascii="Cambria Math" w:hAnsi="Cambria Math"/>
                          </w:rPr>
                          <m:t>2</m:t>
                        </m:r>
                      </m:sup>
                    </m:sSup>
                    <m:r>
                      <w:rPr>
                        <w:rFonts w:ascii="Cambria Math" w:hAnsi="Cambria Math" w:hint="eastAsia"/>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e>
                      <m:sup>
                        <m:r>
                          <w:rPr>
                            <w:rFonts w:ascii="Cambria Math" w:hAnsi="Cambria Math"/>
                          </w:rPr>
                          <m:t>2</m:t>
                        </m:r>
                      </m:sup>
                    </m:sSup>
                    <m:r>
                      <w:rPr>
                        <w:rFonts w:ascii="Cambria Math" w:hAnsi="Cambria Math" w:hint="eastAsia"/>
                      </w:rPr>
                      <m:t>+</m:t>
                    </m:r>
                    <m:r>
                      <w:rPr>
                        <w:rFonts w:ascii="Cambria Math" w:hAnsi="Cambria Math" w:hint="eastAsia"/>
                      </w:rPr>
                      <m:t>…</m:t>
                    </m:r>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hint="eastAsia"/>
                              </w:rPr>
                              <m:t>n</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e>
                    </m:d>
                  </m:e>
                  <m:sup>
                    <m:r>
                      <w:rPr>
                        <w:rFonts w:ascii="Cambria Math" w:hAnsi="Cambria Math"/>
                      </w:rPr>
                      <m:t>2</m:t>
                    </m:r>
                  </m:sup>
                </m:sSup>
              </m:e>
            </m:rad>
          </m:num>
          <m:den>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r>
                  <w:rPr>
                    <w:rFonts w:ascii="Cambria Math" w:hAnsi="Cambria Math" w:hint="eastAsia"/>
                  </w:rPr>
                  <m:t>…</m:t>
                </m:r>
                <m:r>
                  <w:rPr>
                    <w:rFonts w:ascii="Cambria Math" w:hAnsi="Cambria Math" w:hint="eastAsia"/>
                  </w:rPr>
                  <m:t>+</m:t>
                </m:r>
                <m:sSub>
                  <m:sSubPr>
                    <m:ctrlPr>
                      <w:rPr>
                        <w:rFonts w:ascii="Cambria Math" w:hAnsi="Cambria Math"/>
                        <w:i/>
                      </w:rPr>
                    </m:ctrlPr>
                  </m:sSubPr>
                  <m:e>
                    <m:r>
                      <w:rPr>
                        <w:rFonts w:ascii="Cambria Math" w:hAnsi="Cambria Math"/>
                      </w:rPr>
                      <m:t>x</m:t>
                    </m:r>
                  </m:e>
                  <m:sub>
                    <m:r>
                      <w:rPr>
                        <w:rFonts w:ascii="Cambria Math" w:hAnsi="Cambria Math" w:hint="eastAsia"/>
                      </w:rPr>
                      <m:t>n</m:t>
                    </m:r>
                  </m:sub>
                </m:sSub>
              </m:e>
            </m:d>
          </m:den>
        </m:f>
      </m:oMath>
      <w:r w:rsidR="00223629" w:rsidRPr="00746871">
        <w:rPr>
          <w:rFonts w:hint="eastAsia"/>
        </w:rPr>
        <w:t xml:space="preserve"> </w:t>
      </w:r>
      <w:r w:rsidR="00223629" w:rsidRPr="00746871">
        <w:t xml:space="preserve">                    </w:t>
      </w:r>
      <w:r w:rsidR="00E6084C" w:rsidRPr="00746871">
        <w:rPr>
          <w:rFonts w:hint="eastAsia"/>
        </w:rPr>
        <w:t>（</w:t>
      </w:r>
      <w:r w:rsidR="00223629" w:rsidRPr="00746871">
        <w:rPr>
          <w:rFonts w:hint="eastAsia"/>
        </w:rPr>
        <w:t>式</w:t>
      </w:r>
      <w:r w:rsidR="00C74BE5">
        <w:rPr>
          <w:rFonts w:hint="eastAsia"/>
        </w:rPr>
        <w:t>D</w:t>
      </w:r>
      <w:r w:rsidR="00223629" w:rsidRPr="00746871">
        <w:t>.2</w:t>
      </w:r>
      <w:r w:rsidR="00E6084C" w:rsidRPr="00746871">
        <w:rPr>
          <w:rFonts w:hint="eastAsia"/>
        </w:rPr>
        <w:t>）</w:t>
      </w:r>
    </w:p>
    <w:p w14:paraId="302233CF" w14:textId="77777777" w:rsidR="00223629" w:rsidRPr="00746871" w:rsidRDefault="00223629" w:rsidP="00223629">
      <w:pPr>
        <w:ind w:firstLine="420"/>
      </w:pPr>
      <w:r w:rsidRPr="00746871">
        <w:rPr>
          <w:rFonts w:hint="eastAsia"/>
        </w:rPr>
        <w:t>式中：</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08"/>
        <w:gridCol w:w="7653"/>
      </w:tblGrid>
      <w:tr w:rsidR="00E6084C" w:rsidRPr="00746871" w14:paraId="06B377D8" w14:textId="77777777" w:rsidTr="007D7667">
        <w:tc>
          <w:tcPr>
            <w:tcW w:w="993" w:type="dxa"/>
          </w:tcPr>
          <w:p w14:paraId="2B2A5375" w14:textId="4B5DDD04" w:rsidR="00E6084C" w:rsidRPr="00746871" w:rsidRDefault="008A440C" w:rsidP="00D77731">
            <w:pPr>
              <w:ind w:firstLine="420"/>
              <w:jc w:val="left"/>
            </w:pPr>
            <m:oMathPara>
              <m:oMathParaPr>
                <m:jc m:val="left"/>
              </m:oMathParaPr>
              <m:oMath>
                <m:sSub>
                  <m:sSubPr>
                    <m:ctrlPr>
                      <w:rPr>
                        <w:rFonts w:ascii="Cambria Math" w:hAnsi="Cambria Math"/>
                      </w:rPr>
                    </m:ctrlPr>
                  </m:sSubPr>
                  <m:e>
                    <m:r>
                      <w:rPr>
                        <w:rFonts w:ascii="Cambria Math" w:hAnsi="Cambria Math"/>
                      </w:rPr>
                      <m:t>U</m:t>
                    </m:r>
                  </m:e>
                  <m:sub>
                    <m:r>
                      <w:rPr>
                        <w:rFonts w:ascii="Cambria Math" w:hAnsi="Cambria Math" w:hint="eastAsia"/>
                      </w:rPr>
                      <m:t>total</m:t>
                    </m:r>
                    <m:r>
                      <w:rPr>
                        <w:rFonts w:ascii="Cambria Math" w:hAnsi="Cambria Math"/>
                      </w:rPr>
                      <m:t>2</m:t>
                    </m:r>
                  </m:sub>
                </m:sSub>
              </m:oMath>
            </m:oMathPara>
          </w:p>
        </w:tc>
        <w:tc>
          <w:tcPr>
            <w:tcW w:w="708" w:type="dxa"/>
          </w:tcPr>
          <w:p w14:paraId="312C05B9" w14:textId="02B0E27A" w:rsidR="00E6084C" w:rsidRPr="00746871" w:rsidRDefault="00E6084C" w:rsidP="007D7667">
            <w:pPr>
              <w:ind w:firstLineChars="0" w:firstLine="0"/>
              <w:jc w:val="left"/>
            </w:pPr>
            <w:r w:rsidRPr="00746871">
              <w:rPr>
                <w:rFonts w:hint="eastAsia"/>
              </w:rPr>
              <w:t>——</w:t>
            </w:r>
          </w:p>
        </w:tc>
        <w:tc>
          <w:tcPr>
            <w:tcW w:w="7653" w:type="dxa"/>
          </w:tcPr>
          <w:p w14:paraId="11D07F61" w14:textId="5B5A4593" w:rsidR="00E6084C" w:rsidRPr="00746871" w:rsidRDefault="00E6084C" w:rsidP="007D7667">
            <w:pPr>
              <w:ind w:firstLineChars="0" w:firstLine="0"/>
              <w:jc w:val="left"/>
            </w:pPr>
            <w:r w:rsidRPr="00746871">
              <w:rPr>
                <w:rFonts w:hint="eastAsia"/>
              </w:rPr>
              <w:t>所有量总和的百分比不确定性</w:t>
            </w:r>
          </w:p>
        </w:tc>
      </w:tr>
      <w:tr w:rsidR="00E6084C" w:rsidRPr="00746871" w14:paraId="3846F377" w14:textId="77777777" w:rsidTr="007D7667">
        <w:tc>
          <w:tcPr>
            <w:tcW w:w="993" w:type="dxa"/>
          </w:tcPr>
          <w:p w14:paraId="2E095783" w14:textId="77777777" w:rsidR="00E6084C" w:rsidRPr="00746871" w:rsidRDefault="008A440C" w:rsidP="00D77731">
            <w:pPr>
              <w:ind w:firstLineChars="0" w:firstLine="0"/>
              <w:jc w:val="left"/>
            </w:pPr>
            <m:oMath>
              <m:sSub>
                <m:sSubPr>
                  <m:ctrlPr>
                    <w:rPr>
                      <w:rFonts w:ascii="Cambria Math" w:hAnsi="Cambria Math"/>
                      <w:i/>
                    </w:rPr>
                  </m:ctrlPr>
                </m:sSubPr>
                <m:e>
                  <m:r>
                    <w:rPr>
                      <w:rFonts w:ascii="Cambria Math" w:hAnsi="Cambria Math"/>
                    </w:rPr>
                    <m:t>x</m:t>
                  </m:r>
                </m:e>
                <m:sub>
                  <m:r>
                    <w:rPr>
                      <w:rFonts w:ascii="Cambria Math" w:hAnsi="Cambria Math" w:hint="eastAsia"/>
                    </w:rPr>
                    <m:t>n</m:t>
                  </m:r>
                </m:sub>
              </m:sSub>
            </m:oMath>
            <w:r w:rsidR="00E6084C" w:rsidRPr="00746871">
              <w:rPr>
                <w:rFonts w:hint="eastAsia"/>
              </w:rPr>
              <w:t>和</w:t>
            </w:r>
            <m:oMath>
              <m:sSub>
                <m:sSubPr>
                  <m:ctrlPr>
                    <w:rPr>
                      <w:rFonts w:ascii="Cambria Math" w:hAnsi="Cambria Math"/>
                    </w:rPr>
                  </m:ctrlPr>
                </m:sSubPr>
                <m:e>
                  <m:r>
                    <w:rPr>
                      <w:rFonts w:ascii="Cambria Math" w:hAnsi="Cambria Math"/>
                    </w:rPr>
                    <m:t>U</m:t>
                  </m:r>
                </m:e>
                <m:sub>
                  <m:r>
                    <w:rPr>
                      <w:rFonts w:ascii="Cambria Math" w:hAnsi="Cambria Math" w:hint="eastAsia"/>
                    </w:rPr>
                    <m:t>n</m:t>
                  </m:r>
                </m:sub>
              </m:sSub>
            </m:oMath>
          </w:p>
        </w:tc>
        <w:tc>
          <w:tcPr>
            <w:tcW w:w="708" w:type="dxa"/>
          </w:tcPr>
          <w:p w14:paraId="54F31120" w14:textId="0809C6FF" w:rsidR="00E6084C" w:rsidRPr="00746871" w:rsidRDefault="00E6084C" w:rsidP="007D7667">
            <w:pPr>
              <w:ind w:firstLineChars="0" w:firstLine="0"/>
              <w:jc w:val="left"/>
            </w:pPr>
            <w:r w:rsidRPr="00746871">
              <w:rPr>
                <w:rFonts w:hint="eastAsia"/>
              </w:rPr>
              <w:t>——</w:t>
            </w:r>
          </w:p>
        </w:tc>
        <w:tc>
          <w:tcPr>
            <w:tcW w:w="7653" w:type="dxa"/>
          </w:tcPr>
          <w:p w14:paraId="376EFF5A" w14:textId="00E46493" w:rsidR="00E6084C" w:rsidRPr="00746871" w:rsidRDefault="00E6084C" w:rsidP="007D7667">
            <w:pPr>
              <w:ind w:firstLineChars="0" w:firstLine="0"/>
              <w:jc w:val="left"/>
            </w:pPr>
            <w:r w:rsidRPr="00746871">
              <w:rPr>
                <w:rFonts w:hint="eastAsia"/>
              </w:rPr>
              <w:t>不确定量与不确定量相关的百分比不确定性</w:t>
            </w:r>
          </w:p>
        </w:tc>
      </w:tr>
      <w:tr w:rsidR="00E6084C" w:rsidRPr="00746871" w14:paraId="6F48C2D9" w14:textId="77777777" w:rsidTr="007D7667">
        <w:tc>
          <w:tcPr>
            <w:tcW w:w="993" w:type="dxa"/>
          </w:tcPr>
          <w:p w14:paraId="14F6F8EB" w14:textId="77777777" w:rsidR="00E6084C" w:rsidRPr="00746871" w:rsidRDefault="00E6084C" w:rsidP="00D77731">
            <w:pPr>
              <w:ind w:firstLine="420"/>
              <w:jc w:val="left"/>
            </w:pPr>
          </w:p>
        </w:tc>
        <w:tc>
          <w:tcPr>
            <w:tcW w:w="708" w:type="dxa"/>
          </w:tcPr>
          <w:p w14:paraId="65C6CCB7" w14:textId="77777777" w:rsidR="00E6084C" w:rsidRPr="00746871" w:rsidRDefault="00E6084C" w:rsidP="00D77731">
            <w:pPr>
              <w:ind w:firstLine="420"/>
              <w:jc w:val="left"/>
            </w:pPr>
          </w:p>
        </w:tc>
        <w:tc>
          <w:tcPr>
            <w:tcW w:w="7653" w:type="dxa"/>
          </w:tcPr>
          <w:p w14:paraId="61B81D4B" w14:textId="0BE4DB89" w:rsidR="00E6084C" w:rsidRPr="00746871" w:rsidRDefault="00E6084C" w:rsidP="00D77731">
            <w:pPr>
              <w:ind w:firstLine="420"/>
              <w:jc w:val="left"/>
            </w:pPr>
          </w:p>
        </w:tc>
      </w:tr>
    </w:tbl>
    <w:p w14:paraId="556801A8" w14:textId="77777777" w:rsidR="00223629" w:rsidRPr="00746871" w:rsidRDefault="00223629" w:rsidP="00223629">
      <w:pPr>
        <w:ind w:firstLine="420"/>
      </w:pPr>
      <w:r w:rsidRPr="00746871">
        <w:rPr>
          <w:rFonts w:hint="eastAsia"/>
        </w:rPr>
        <w:t>核查员可以根据实际需要判断是否要对数据来源及量化方法学所导致的温室气体排放量的不确定性进行评价。</w:t>
      </w:r>
    </w:p>
    <w:p w14:paraId="12146991" w14:textId="77777777" w:rsidR="00223629" w:rsidRPr="00746871" w:rsidRDefault="00223629" w:rsidP="00223629">
      <w:pPr>
        <w:ind w:firstLine="420"/>
      </w:pPr>
      <w:r w:rsidRPr="00746871">
        <w:rPr>
          <w:rFonts w:hint="eastAsia"/>
        </w:rPr>
        <w:t>核查员应对组织温室气体排放量的不确定性的计算过程和结果进行核查，确认组织整个温室气体排放量的不确定性是准确的、合理的，并在核查报告中说明。</w:t>
      </w:r>
    </w:p>
    <w:p w14:paraId="3422A9DB" w14:textId="77777777" w:rsidR="00223629" w:rsidRPr="00746871" w:rsidRDefault="00223629" w:rsidP="00223629">
      <w:pPr>
        <w:ind w:firstLine="420"/>
      </w:pPr>
    </w:p>
    <w:p w14:paraId="30DB09A8" w14:textId="77777777" w:rsidR="00223629" w:rsidRPr="00746871" w:rsidRDefault="00223629" w:rsidP="00223629">
      <w:pPr>
        <w:ind w:firstLine="420"/>
      </w:pPr>
      <w:r w:rsidRPr="00746871">
        <w:br w:type="page"/>
      </w:r>
    </w:p>
    <w:p w14:paraId="242ACE5C" w14:textId="5AD4BA73" w:rsidR="00FB562A" w:rsidRPr="00746871" w:rsidRDefault="00FB562A" w:rsidP="00FB562A">
      <w:pPr>
        <w:pStyle w:val="1"/>
        <w:spacing w:before="312" w:after="312"/>
        <w:ind w:firstLine="420"/>
        <w:jc w:val="center"/>
      </w:pPr>
      <w:r w:rsidRPr="00746871">
        <w:rPr>
          <w:rFonts w:hint="eastAsia"/>
        </w:rPr>
        <w:lastRenderedPageBreak/>
        <w:t>附录</w:t>
      </w:r>
      <w:r w:rsidR="007B01C3" w:rsidRPr="00746871">
        <w:t>E</w:t>
      </w:r>
    </w:p>
    <w:p w14:paraId="193B5812" w14:textId="77777777" w:rsidR="00FB562A" w:rsidRPr="00746871" w:rsidRDefault="00FB562A" w:rsidP="00FB562A">
      <w:pPr>
        <w:pStyle w:val="a9"/>
        <w:jc w:val="center"/>
        <w:rPr>
          <w:rFonts w:ascii="Times New Roman" w:eastAsia="宋体" w:hAnsi="Times New Roman" w:cs="Times New Roman"/>
          <w:bCs/>
          <w:kern w:val="44"/>
          <w:szCs w:val="44"/>
        </w:rPr>
      </w:pPr>
      <w:r w:rsidRPr="00746871">
        <w:rPr>
          <w:rFonts w:ascii="Times New Roman" w:eastAsia="宋体" w:hAnsi="Times New Roman" w:cs="Times New Roman" w:hint="eastAsia"/>
          <w:bCs/>
          <w:kern w:val="44"/>
          <w:szCs w:val="44"/>
        </w:rPr>
        <w:t>（资料性附录）</w:t>
      </w:r>
    </w:p>
    <w:p w14:paraId="14AE6A4E" w14:textId="77777777" w:rsidR="00FB562A" w:rsidRPr="00746871" w:rsidRDefault="00FB562A" w:rsidP="00FB562A">
      <w:pPr>
        <w:pStyle w:val="a9"/>
        <w:jc w:val="center"/>
      </w:pPr>
      <w:bookmarkStart w:id="96" w:name="_Toc17464327"/>
      <w:r w:rsidRPr="00746871">
        <w:rPr>
          <w:rFonts w:ascii="Times New Roman" w:eastAsia="宋体" w:hAnsi="Times New Roman" w:cs="Times New Roman" w:hint="eastAsia"/>
          <w:bCs/>
          <w:kern w:val="44"/>
          <w:szCs w:val="44"/>
        </w:rPr>
        <w:t>核查报告模板</w:t>
      </w:r>
      <w:bookmarkEnd w:id="96"/>
    </w:p>
    <w:p w14:paraId="0230FBEB" w14:textId="7E81AA25" w:rsidR="00FB562A" w:rsidRPr="00746871" w:rsidRDefault="00FB562A" w:rsidP="00FB562A">
      <w:pPr>
        <w:ind w:firstLine="420"/>
      </w:pPr>
    </w:p>
    <w:p w14:paraId="413792EF" w14:textId="77777777" w:rsidR="00FB562A" w:rsidRPr="00746871" w:rsidRDefault="00FB562A" w:rsidP="00FB562A">
      <w:pPr>
        <w:pBdr>
          <w:top w:val="single" w:sz="4" w:space="1" w:color="auto"/>
          <w:left w:val="single" w:sz="4" w:space="4" w:color="auto"/>
          <w:bottom w:val="single" w:sz="4" w:space="1" w:color="auto"/>
          <w:right w:val="single" w:sz="4" w:space="4" w:color="auto"/>
        </w:pBdr>
        <w:ind w:firstLine="420"/>
        <w:rPr>
          <w:color w:val="000000"/>
        </w:rPr>
      </w:pPr>
    </w:p>
    <w:p w14:paraId="0C0CBB7C" w14:textId="77777777" w:rsidR="00FB562A" w:rsidRPr="00746871" w:rsidRDefault="00FB562A" w:rsidP="00FB562A">
      <w:pPr>
        <w:widowControl/>
        <w:pBdr>
          <w:top w:val="single" w:sz="4" w:space="1" w:color="auto"/>
          <w:left w:val="single" w:sz="4" w:space="4" w:color="auto"/>
          <w:bottom w:val="single" w:sz="4" w:space="1" w:color="auto"/>
          <w:right w:val="single" w:sz="4" w:space="4" w:color="auto"/>
        </w:pBdr>
        <w:adjustRightInd w:val="0"/>
        <w:spacing w:line="271" w:lineRule="auto"/>
        <w:ind w:firstLine="560"/>
        <w:jc w:val="center"/>
        <w:textAlignment w:val="baseline"/>
        <w:rPr>
          <w:rFonts w:ascii="仿宋_GB2312" w:eastAsia="仿宋_GB2312" w:cs="宋体"/>
          <w:color w:val="000000"/>
          <w:kern w:val="0"/>
          <w:sz w:val="28"/>
          <w:szCs w:val="28"/>
        </w:rPr>
      </w:pPr>
    </w:p>
    <w:p w14:paraId="5F8143A9" w14:textId="77777777" w:rsidR="00FB562A" w:rsidRPr="00746871" w:rsidRDefault="00FB562A" w:rsidP="00FB562A">
      <w:pPr>
        <w:widowControl/>
        <w:pBdr>
          <w:top w:val="single" w:sz="4" w:space="1" w:color="auto"/>
          <w:left w:val="single" w:sz="4" w:space="4" w:color="auto"/>
          <w:bottom w:val="single" w:sz="4" w:space="1" w:color="auto"/>
          <w:right w:val="single" w:sz="4" w:space="4" w:color="auto"/>
        </w:pBdr>
        <w:adjustRightInd w:val="0"/>
        <w:spacing w:line="271" w:lineRule="auto"/>
        <w:ind w:firstLine="560"/>
        <w:jc w:val="center"/>
        <w:textAlignment w:val="baseline"/>
        <w:rPr>
          <w:rFonts w:ascii="仿宋_GB2312" w:eastAsia="仿宋_GB2312" w:cs="宋体"/>
          <w:color w:val="000000"/>
          <w:kern w:val="0"/>
          <w:sz w:val="28"/>
          <w:szCs w:val="28"/>
        </w:rPr>
      </w:pPr>
    </w:p>
    <w:p w14:paraId="7D0D8C66" w14:textId="77777777" w:rsidR="00FB562A" w:rsidRPr="00746871" w:rsidRDefault="00FB562A" w:rsidP="00FB562A">
      <w:pPr>
        <w:widowControl/>
        <w:pBdr>
          <w:top w:val="single" w:sz="4" w:space="1" w:color="auto"/>
          <w:left w:val="single" w:sz="4" w:space="4" w:color="auto"/>
          <w:bottom w:val="single" w:sz="4" w:space="1" w:color="auto"/>
          <w:right w:val="single" w:sz="4" w:space="4" w:color="auto"/>
        </w:pBdr>
        <w:adjustRightInd w:val="0"/>
        <w:spacing w:line="271" w:lineRule="auto"/>
        <w:ind w:firstLine="560"/>
        <w:jc w:val="center"/>
        <w:textAlignment w:val="baseline"/>
        <w:rPr>
          <w:rFonts w:ascii="仿宋_GB2312" w:eastAsia="仿宋_GB2312" w:cs="宋体"/>
          <w:color w:val="000000"/>
          <w:kern w:val="0"/>
          <w:sz w:val="28"/>
          <w:szCs w:val="28"/>
        </w:rPr>
      </w:pPr>
    </w:p>
    <w:p w14:paraId="0BD01560" w14:textId="77777777" w:rsidR="00FB562A" w:rsidRPr="00746871" w:rsidRDefault="00FB562A" w:rsidP="00FB562A">
      <w:pPr>
        <w:widowControl/>
        <w:pBdr>
          <w:top w:val="single" w:sz="4" w:space="1" w:color="auto"/>
          <w:left w:val="single" w:sz="4" w:space="4" w:color="auto"/>
          <w:bottom w:val="single" w:sz="4" w:space="1" w:color="auto"/>
          <w:right w:val="single" w:sz="4" w:space="4" w:color="auto"/>
        </w:pBdr>
        <w:adjustRightInd w:val="0"/>
        <w:spacing w:line="271" w:lineRule="auto"/>
        <w:ind w:firstLine="720"/>
        <w:jc w:val="center"/>
        <w:textAlignment w:val="baseline"/>
        <w:rPr>
          <w:rFonts w:ascii="仿宋_GB2312" w:eastAsia="仿宋_GB2312" w:hAnsi="黑体" w:cs="宋体"/>
          <w:color w:val="000000"/>
          <w:kern w:val="0"/>
          <w:sz w:val="36"/>
          <w:szCs w:val="28"/>
        </w:rPr>
      </w:pPr>
      <w:r w:rsidRPr="00746871">
        <w:rPr>
          <w:rFonts w:ascii="仿宋_GB2312" w:eastAsia="仿宋_GB2312" w:hAnsi="黑体" w:cs="宋体" w:hint="eastAsia"/>
          <w:color w:val="000000"/>
          <w:kern w:val="0"/>
          <w:sz w:val="36"/>
          <w:szCs w:val="28"/>
        </w:rPr>
        <w:t>**** (排放单位名称)</w:t>
      </w:r>
    </w:p>
    <w:p w14:paraId="48D0C224" w14:textId="77777777" w:rsidR="00FB562A" w:rsidRPr="00746871" w:rsidRDefault="00FB562A" w:rsidP="00FB562A">
      <w:pPr>
        <w:widowControl/>
        <w:pBdr>
          <w:top w:val="single" w:sz="4" w:space="1" w:color="auto"/>
          <w:left w:val="single" w:sz="4" w:space="4" w:color="auto"/>
          <w:bottom w:val="single" w:sz="4" w:space="1" w:color="auto"/>
          <w:right w:val="single" w:sz="4" w:space="4" w:color="auto"/>
        </w:pBdr>
        <w:adjustRightInd w:val="0"/>
        <w:spacing w:line="271" w:lineRule="auto"/>
        <w:ind w:firstLine="560"/>
        <w:jc w:val="center"/>
        <w:textAlignment w:val="baseline"/>
        <w:rPr>
          <w:rFonts w:ascii="仿宋_GB2312" w:eastAsia="仿宋_GB2312" w:hAnsi="黑体" w:cs="宋体"/>
          <w:color w:val="000000"/>
          <w:kern w:val="0"/>
          <w:sz w:val="28"/>
          <w:szCs w:val="28"/>
        </w:rPr>
      </w:pPr>
      <w:r w:rsidRPr="00746871">
        <w:rPr>
          <w:rFonts w:ascii="仿宋_GB2312" w:eastAsia="仿宋_GB2312" w:hAnsi="黑体" w:cs="宋体" w:hint="eastAsia"/>
          <w:color w:val="000000"/>
          <w:kern w:val="0"/>
          <w:sz w:val="28"/>
          <w:szCs w:val="28"/>
        </w:rPr>
        <w:t>****年度</w:t>
      </w:r>
    </w:p>
    <w:p w14:paraId="0BB4B6BF" w14:textId="77777777" w:rsidR="00FB562A" w:rsidRPr="00746871" w:rsidRDefault="00FB562A" w:rsidP="00FB562A">
      <w:pPr>
        <w:widowControl/>
        <w:pBdr>
          <w:top w:val="single" w:sz="4" w:space="1" w:color="auto"/>
          <w:left w:val="single" w:sz="4" w:space="4" w:color="auto"/>
          <w:bottom w:val="single" w:sz="4" w:space="1" w:color="auto"/>
          <w:right w:val="single" w:sz="4" w:space="4" w:color="auto"/>
        </w:pBdr>
        <w:adjustRightInd w:val="0"/>
        <w:spacing w:line="271" w:lineRule="auto"/>
        <w:ind w:firstLine="560"/>
        <w:jc w:val="center"/>
        <w:textAlignment w:val="baseline"/>
        <w:rPr>
          <w:rFonts w:ascii="仿宋_GB2312" w:eastAsia="仿宋_GB2312" w:hAnsi="黑体" w:cs="宋体"/>
          <w:color w:val="000000"/>
          <w:kern w:val="0"/>
          <w:sz w:val="28"/>
          <w:szCs w:val="28"/>
        </w:rPr>
      </w:pPr>
      <w:r w:rsidRPr="00746871">
        <w:rPr>
          <w:rFonts w:ascii="仿宋_GB2312" w:eastAsia="仿宋_GB2312" w:hAnsi="黑体" w:cs="宋体" w:hint="eastAsia"/>
          <w:color w:val="000000"/>
          <w:kern w:val="0"/>
          <w:sz w:val="28"/>
          <w:szCs w:val="28"/>
        </w:rPr>
        <w:t>温室气体排放核查报告</w:t>
      </w:r>
    </w:p>
    <w:p w14:paraId="2ED384CB" w14:textId="77777777" w:rsidR="00FB562A" w:rsidRPr="00746871" w:rsidRDefault="00FB562A" w:rsidP="00FB562A">
      <w:pPr>
        <w:widowControl/>
        <w:pBdr>
          <w:top w:val="single" w:sz="4" w:space="1" w:color="auto"/>
          <w:left w:val="single" w:sz="4" w:space="4" w:color="auto"/>
          <w:bottom w:val="single" w:sz="4" w:space="1" w:color="auto"/>
          <w:right w:val="single" w:sz="4" w:space="4" w:color="auto"/>
        </w:pBdr>
        <w:adjustRightInd w:val="0"/>
        <w:spacing w:line="271" w:lineRule="auto"/>
        <w:ind w:firstLine="560"/>
        <w:jc w:val="center"/>
        <w:textAlignment w:val="baseline"/>
        <w:rPr>
          <w:rFonts w:ascii="仿宋_GB2312" w:eastAsia="仿宋_GB2312" w:cs="宋体"/>
          <w:color w:val="000000"/>
          <w:kern w:val="0"/>
          <w:sz w:val="28"/>
          <w:szCs w:val="28"/>
        </w:rPr>
      </w:pPr>
    </w:p>
    <w:p w14:paraId="039A3D8F" w14:textId="77777777" w:rsidR="00FB562A" w:rsidRPr="00746871" w:rsidRDefault="00FB562A" w:rsidP="00FB562A">
      <w:pPr>
        <w:pBdr>
          <w:top w:val="single" w:sz="4" w:space="1" w:color="auto"/>
          <w:left w:val="single" w:sz="4" w:space="4" w:color="auto"/>
          <w:bottom w:val="single" w:sz="4" w:space="1" w:color="auto"/>
          <w:right w:val="single" w:sz="4" w:space="4" w:color="auto"/>
        </w:pBdr>
        <w:ind w:firstLine="420"/>
        <w:rPr>
          <w:color w:val="000000"/>
        </w:rPr>
      </w:pPr>
    </w:p>
    <w:p w14:paraId="4F385A4F" w14:textId="77777777" w:rsidR="00FB562A" w:rsidRPr="00746871" w:rsidRDefault="00FB562A" w:rsidP="00FB562A">
      <w:pPr>
        <w:pBdr>
          <w:top w:val="single" w:sz="4" w:space="1" w:color="auto"/>
          <w:left w:val="single" w:sz="4" w:space="4" w:color="auto"/>
          <w:bottom w:val="single" w:sz="4" w:space="1" w:color="auto"/>
          <w:right w:val="single" w:sz="4" w:space="4" w:color="auto"/>
        </w:pBdr>
        <w:ind w:firstLine="420"/>
        <w:rPr>
          <w:color w:val="000000"/>
        </w:rPr>
      </w:pPr>
    </w:p>
    <w:p w14:paraId="3FED6DDA" w14:textId="77777777" w:rsidR="00FB562A" w:rsidRPr="00746871" w:rsidRDefault="00FB562A" w:rsidP="00FB562A">
      <w:pPr>
        <w:pBdr>
          <w:top w:val="single" w:sz="4" w:space="1" w:color="auto"/>
          <w:left w:val="single" w:sz="4" w:space="4" w:color="auto"/>
          <w:bottom w:val="single" w:sz="4" w:space="1" w:color="auto"/>
          <w:right w:val="single" w:sz="4" w:space="4" w:color="auto"/>
        </w:pBdr>
        <w:ind w:firstLine="420"/>
        <w:rPr>
          <w:color w:val="000000"/>
        </w:rPr>
      </w:pPr>
    </w:p>
    <w:p w14:paraId="129C2648" w14:textId="77777777" w:rsidR="00FB562A" w:rsidRPr="00746871" w:rsidRDefault="00FB562A" w:rsidP="00FB562A">
      <w:pPr>
        <w:pBdr>
          <w:top w:val="single" w:sz="4" w:space="1" w:color="auto"/>
          <w:left w:val="single" w:sz="4" w:space="4" w:color="auto"/>
          <w:bottom w:val="single" w:sz="4" w:space="1" w:color="auto"/>
          <w:right w:val="single" w:sz="4" w:space="4" w:color="auto"/>
        </w:pBdr>
        <w:ind w:firstLine="420"/>
        <w:rPr>
          <w:color w:val="000000"/>
        </w:rPr>
      </w:pPr>
    </w:p>
    <w:p w14:paraId="0B7542B8" w14:textId="77777777" w:rsidR="00FB562A" w:rsidRPr="00746871" w:rsidRDefault="00FB562A" w:rsidP="00FB562A">
      <w:pPr>
        <w:pBdr>
          <w:top w:val="single" w:sz="4" w:space="1" w:color="auto"/>
          <w:left w:val="single" w:sz="4" w:space="4" w:color="auto"/>
          <w:bottom w:val="single" w:sz="4" w:space="1" w:color="auto"/>
          <w:right w:val="single" w:sz="4" w:space="4" w:color="auto"/>
        </w:pBdr>
        <w:ind w:firstLine="420"/>
        <w:rPr>
          <w:color w:val="000000"/>
        </w:rPr>
      </w:pPr>
    </w:p>
    <w:p w14:paraId="2C8D46EA" w14:textId="77777777" w:rsidR="00FB562A" w:rsidRPr="00746871" w:rsidRDefault="00FB562A" w:rsidP="00FB562A">
      <w:pPr>
        <w:pBdr>
          <w:top w:val="single" w:sz="4" w:space="1" w:color="auto"/>
          <w:left w:val="single" w:sz="4" w:space="4" w:color="auto"/>
          <w:bottom w:val="single" w:sz="4" w:space="1" w:color="auto"/>
          <w:right w:val="single" w:sz="4" w:space="4" w:color="auto"/>
        </w:pBdr>
        <w:ind w:firstLine="420"/>
        <w:rPr>
          <w:color w:val="000000"/>
        </w:rPr>
      </w:pPr>
    </w:p>
    <w:p w14:paraId="42E65015" w14:textId="77777777" w:rsidR="00FB562A" w:rsidRPr="00746871" w:rsidRDefault="00FB562A" w:rsidP="00FB562A">
      <w:pPr>
        <w:pBdr>
          <w:top w:val="single" w:sz="4" w:space="1" w:color="auto"/>
          <w:left w:val="single" w:sz="4" w:space="4" w:color="auto"/>
          <w:bottom w:val="single" w:sz="4" w:space="1" w:color="auto"/>
          <w:right w:val="single" w:sz="4" w:space="4" w:color="auto"/>
        </w:pBdr>
        <w:ind w:firstLine="420"/>
        <w:rPr>
          <w:color w:val="000000"/>
        </w:rPr>
      </w:pPr>
    </w:p>
    <w:p w14:paraId="189AFDA3" w14:textId="77777777" w:rsidR="00FB562A" w:rsidRPr="00746871" w:rsidRDefault="00FB562A" w:rsidP="00FB562A">
      <w:pPr>
        <w:pBdr>
          <w:top w:val="single" w:sz="4" w:space="1" w:color="auto"/>
          <w:left w:val="single" w:sz="4" w:space="4" w:color="auto"/>
          <w:bottom w:val="single" w:sz="4" w:space="1" w:color="auto"/>
          <w:right w:val="single" w:sz="4" w:space="4" w:color="auto"/>
        </w:pBdr>
        <w:ind w:firstLine="420"/>
        <w:rPr>
          <w:color w:val="000000"/>
        </w:rPr>
      </w:pPr>
    </w:p>
    <w:p w14:paraId="0D011F0C" w14:textId="77777777" w:rsidR="00FB562A" w:rsidRPr="00746871" w:rsidRDefault="00FB562A" w:rsidP="00FB562A">
      <w:pPr>
        <w:pBdr>
          <w:top w:val="single" w:sz="4" w:space="1" w:color="auto"/>
          <w:left w:val="single" w:sz="4" w:space="4" w:color="auto"/>
          <w:bottom w:val="single" w:sz="4" w:space="1" w:color="auto"/>
          <w:right w:val="single" w:sz="4" w:space="4" w:color="auto"/>
        </w:pBdr>
        <w:ind w:firstLine="420"/>
        <w:rPr>
          <w:color w:val="000000"/>
        </w:rPr>
      </w:pPr>
    </w:p>
    <w:p w14:paraId="7F10D81C" w14:textId="77777777" w:rsidR="00FB562A" w:rsidRPr="00746871" w:rsidRDefault="00FB562A" w:rsidP="00FB562A">
      <w:pPr>
        <w:pBdr>
          <w:top w:val="single" w:sz="4" w:space="1" w:color="auto"/>
          <w:left w:val="single" w:sz="4" w:space="4" w:color="auto"/>
          <w:bottom w:val="single" w:sz="4" w:space="1" w:color="auto"/>
          <w:right w:val="single" w:sz="4" w:space="4" w:color="auto"/>
        </w:pBdr>
        <w:ind w:firstLine="420"/>
        <w:rPr>
          <w:color w:val="000000"/>
        </w:rPr>
      </w:pPr>
    </w:p>
    <w:p w14:paraId="443FB8B0" w14:textId="77777777" w:rsidR="00FB562A" w:rsidRPr="00746871" w:rsidRDefault="00FB562A" w:rsidP="00FB562A">
      <w:pPr>
        <w:widowControl/>
        <w:pBdr>
          <w:top w:val="single" w:sz="4" w:space="1" w:color="auto"/>
          <w:left w:val="single" w:sz="4" w:space="4" w:color="auto"/>
          <w:bottom w:val="single" w:sz="4" w:space="1" w:color="auto"/>
          <w:right w:val="single" w:sz="4" w:space="4" w:color="auto"/>
        </w:pBdr>
        <w:adjustRightInd w:val="0"/>
        <w:spacing w:line="271" w:lineRule="auto"/>
        <w:ind w:firstLine="480"/>
        <w:jc w:val="left"/>
        <w:textAlignment w:val="baseline"/>
        <w:rPr>
          <w:rFonts w:ascii="仿宋_GB2312" w:eastAsia="仿宋_GB2312" w:hAnsi="仿宋" w:cs="宋体"/>
          <w:b/>
          <w:color w:val="000000"/>
          <w:kern w:val="0"/>
          <w:sz w:val="24"/>
          <w:szCs w:val="28"/>
          <w:u w:val="single"/>
        </w:rPr>
      </w:pPr>
      <w:r w:rsidRPr="00746871">
        <w:rPr>
          <w:rFonts w:ascii="仿宋_GB2312" w:eastAsia="仿宋_GB2312" w:hAnsi="仿宋" w:cs="宋体" w:hint="eastAsia"/>
          <w:b/>
          <w:color w:val="000000"/>
          <w:kern w:val="0"/>
          <w:sz w:val="24"/>
          <w:szCs w:val="28"/>
        </w:rPr>
        <w:t>核查机构名称（公章）：</w:t>
      </w:r>
    </w:p>
    <w:p w14:paraId="30C8F31C" w14:textId="77777777" w:rsidR="00FB562A" w:rsidRPr="00746871" w:rsidRDefault="00FB562A" w:rsidP="00FB562A">
      <w:pPr>
        <w:widowControl/>
        <w:pBdr>
          <w:top w:val="single" w:sz="4" w:space="1" w:color="auto"/>
          <w:left w:val="single" w:sz="4" w:space="4" w:color="auto"/>
          <w:bottom w:val="single" w:sz="4" w:space="1" w:color="auto"/>
          <w:right w:val="single" w:sz="4" w:space="4" w:color="auto"/>
        </w:pBdr>
        <w:adjustRightInd w:val="0"/>
        <w:spacing w:line="271" w:lineRule="auto"/>
        <w:ind w:firstLine="480"/>
        <w:jc w:val="left"/>
        <w:textAlignment w:val="baseline"/>
        <w:rPr>
          <w:rFonts w:ascii="仿宋_GB2312" w:eastAsia="仿宋_GB2312" w:hAnsi="仿宋" w:cs="宋体"/>
          <w:b/>
          <w:color w:val="000000"/>
          <w:kern w:val="0"/>
          <w:sz w:val="24"/>
          <w:szCs w:val="28"/>
          <w:u w:val="single"/>
        </w:rPr>
      </w:pPr>
      <w:r w:rsidRPr="00746871">
        <w:rPr>
          <w:rFonts w:ascii="仿宋_GB2312" w:eastAsia="仿宋_GB2312" w:hAnsi="仿宋" w:cs="宋体" w:hint="eastAsia"/>
          <w:b/>
          <w:color w:val="000000"/>
          <w:kern w:val="0"/>
          <w:sz w:val="24"/>
          <w:szCs w:val="28"/>
        </w:rPr>
        <w:t>核查报告签发日期：</w:t>
      </w:r>
    </w:p>
    <w:p w14:paraId="282339FD" w14:textId="77777777" w:rsidR="00FB562A" w:rsidRPr="00746871" w:rsidRDefault="00FB562A" w:rsidP="00FB562A">
      <w:pPr>
        <w:pBdr>
          <w:top w:val="single" w:sz="4" w:space="1" w:color="auto"/>
          <w:left w:val="single" w:sz="4" w:space="4" w:color="auto"/>
          <w:bottom w:val="single" w:sz="4" w:space="1" w:color="auto"/>
          <w:right w:val="single" w:sz="4" w:space="4" w:color="auto"/>
        </w:pBdr>
        <w:ind w:firstLine="420"/>
        <w:rPr>
          <w:color w:val="000000"/>
        </w:rPr>
      </w:pPr>
    </w:p>
    <w:p w14:paraId="6A7456F4" w14:textId="77777777" w:rsidR="00FB562A" w:rsidRPr="00746871" w:rsidRDefault="00FB562A" w:rsidP="00FB562A">
      <w:pPr>
        <w:ind w:firstLine="420"/>
        <w:rPr>
          <w:color w:val="000000"/>
        </w:rPr>
      </w:pPr>
    </w:p>
    <w:p w14:paraId="0C38C9C0" w14:textId="6422FA7B" w:rsidR="00FB562A" w:rsidRPr="00746871" w:rsidRDefault="00FB562A" w:rsidP="00FB562A">
      <w:pPr>
        <w:pStyle w:val="aff5"/>
        <w:tabs>
          <w:tab w:val="num" w:pos="180"/>
        </w:tabs>
        <w:spacing w:before="156" w:after="156"/>
      </w:pPr>
      <w:r w:rsidRPr="00746871">
        <w:br w:type="page"/>
      </w:r>
    </w:p>
    <w:p w14:paraId="2CF02D2E" w14:textId="77777777" w:rsidR="00FB562A" w:rsidRPr="00746871" w:rsidRDefault="00FB562A" w:rsidP="00FB562A">
      <w:pPr>
        <w:pStyle w:val="aff5"/>
        <w:tabs>
          <w:tab w:val="num" w:pos="180"/>
        </w:tabs>
        <w:spacing w:before="156" w:after="156"/>
      </w:pPr>
    </w:p>
    <w:p w14:paraId="30A4B81B" w14:textId="77777777" w:rsidR="00FB562A" w:rsidRPr="00746871" w:rsidRDefault="00FB562A" w:rsidP="000259CE">
      <w:pPr>
        <w:pBdr>
          <w:top w:val="single" w:sz="4" w:space="1" w:color="auto"/>
          <w:left w:val="single" w:sz="4" w:space="4" w:color="auto"/>
          <w:bottom w:val="single" w:sz="4" w:space="1" w:color="auto"/>
          <w:right w:val="single" w:sz="4" w:space="4" w:color="auto"/>
        </w:pBdr>
        <w:ind w:firstLineChars="0" w:firstLine="0"/>
        <w:rPr>
          <w:color w:val="000000"/>
        </w:rPr>
      </w:pPr>
      <w:r w:rsidRPr="00746871">
        <w:rPr>
          <w:rFonts w:hint="eastAsia"/>
          <w:color w:val="000000"/>
        </w:rPr>
        <w:t>目录</w:t>
      </w:r>
    </w:p>
    <w:p w14:paraId="3A37BFD2" w14:textId="77777777" w:rsidR="00FB562A" w:rsidRPr="00746871" w:rsidRDefault="00FB562A" w:rsidP="000259CE">
      <w:pPr>
        <w:pBdr>
          <w:top w:val="single" w:sz="4" w:space="1" w:color="auto"/>
          <w:left w:val="single" w:sz="4" w:space="4" w:color="auto"/>
          <w:bottom w:val="single" w:sz="4" w:space="1" w:color="auto"/>
          <w:right w:val="single" w:sz="4" w:space="4" w:color="auto"/>
        </w:pBdr>
        <w:ind w:firstLineChars="0" w:firstLine="0"/>
        <w:rPr>
          <w:color w:val="000000"/>
        </w:rPr>
      </w:pPr>
      <w:r w:rsidRPr="00746871">
        <w:rPr>
          <w:rFonts w:hint="eastAsia"/>
          <w:color w:val="000000"/>
        </w:rPr>
        <w:t xml:space="preserve">1. </w:t>
      </w:r>
      <w:r w:rsidRPr="00746871">
        <w:rPr>
          <w:rFonts w:hint="eastAsia"/>
          <w:color w:val="000000"/>
        </w:rPr>
        <w:t>概述</w:t>
      </w:r>
    </w:p>
    <w:p w14:paraId="07C6B73B" w14:textId="77777777" w:rsidR="00FB562A" w:rsidRPr="00746871" w:rsidRDefault="00FB562A" w:rsidP="002F2B19">
      <w:pPr>
        <w:pBdr>
          <w:top w:val="single" w:sz="4" w:space="1" w:color="auto"/>
          <w:left w:val="single" w:sz="4" w:space="4" w:color="auto"/>
          <w:bottom w:val="single" w:sz="4" w:space="1" w:color="auto"/>
          <w:right w:val="single" w:sz="4" w:space="4" w:color="auto"/>
        </w:pBdr>
        <w:ind w:firstLineChars="100" w:firstLine="210"/>
        <w:rPr>
          <w:color w:val="000000"/>
        </w:rPr>
      </w:pPr>
      <w:r w:rsidRPr="00746871">
        <w:rPr>
          <w:rFonts w:hint="eastAsia"/>
          <w:color w:val="000000"/>
        </w:rPr>
        <w:t xml:space="preserve">1.1 </w:t>
      </w:r>
      <w:r w:rsidRPr="00746871">
        <w:rPr>
          <w:rFonts w:hint="eastAsia"/>
          <w:color w:val="000000"/>
        </w:rPr>
        <w:t>核查目的</w:t>
      </w:r>
    </w:p>
    <w:p w14:paraId="6D700109" w14:textId="77777777" w:rsidR="00FB562A" w:rsidRPr="00746871" w:rsidRDefault="00FB562A" w:rsidP="002F2B19">
      <w:pPr>
        <w:pBdr>
          <w:top w:val="single" w:sz="4" w:space="1" w:color="auto"/>
          <w:left w:val="single" w:sz="4" w:space="4" w:color="auto"/>
          <w:bottom w:val="single" w:sz="4" w:space="1" w:color="auto"/>
          <w:right w:val="single" w:sz="4" w:space="4" w:color="auto"/>
        </w:pBdr>
        <w:ind w:firstLineChars="100" w:firstLine="210"/>
        <w:rPr>
          <w:color w:val="000000"/>
        </w:rPr>
      </w:pPr>
      <w:r w:rsidRPr="00746871">
        <w:rPr>
          <w:rFonts w:hint="eastAsia"/>
          <w:color w:val="000000"/>
        </w:rPr>
        <w:t xml:space="preserve">1.2 </w:t>
      </w:r>
      <w:r w:rsidRPr="00746871">
        <w:rPr>
          <w:rFonts w:hint="eastAsia"/>
          <w:color w:val="000000"/>
        </w:rPr>
        <w:t>核查范围</w:t>
      </w:r>
    </w:p>
    <w:p w14:paraId="7CE4B5B8" w14:textId="77777777" w:rsidR="00FB562A" w:rsidRPr="00746871" w:rsidRDefault="00FB562A" w:rsidP="002F2B19">
      <w:pPr>
        <w:pBdr>
          <w:top w:val="single" w:sz="4" w:space="1" w:color="auto"/>
          <w:left w:val="single" w:sz="4" w:space="4" w:color="auto"/>
          <w:bottom w:val="single" w:sz="4" w:space="1" w:color="auto"/>
          <w:right w:val="single" w:sz="4" w:space="4" w:color="auto"/>
        </w:pBdr>
        <w:ind w:firstLineChars="100" w:firstLine="210"/>
        <w:rPr>
          <w:color w:val="000000"/>
        </w:rPr>
      </w:pPr>
      <w:r w:rsidRPr="00746871">
        <w:rPr>
          <w:rFonts w:hint="eastAsia"/>
          <w:color w:val="000000"/>
        </w:rPr>
        <w:t xml:space="preserve">1.3 </w:t>
      </w:r>
      <w:r w:rsidRPr="00746871">
        <w:rPr>
          <w:rFonts w:hint="eastAsia"/>
          <w:color w:val="000000"/>
        </w:rPr>
        <w:t>核查准则</w:t>
      </w:r>
    </w:p>
    <w:p w14:paraId="6D1C52FF" w14:textId="77777777" w:rsidR="00FB562A" w:rsidRPr="00746871" w:rsidRDefault="00FB562A" w:rsidP="000259CE">
      <w:pPr>
        <w:pBdr>
          <w:top w:val="single" w:sz="4" w:space="1" w:color="auto"/>
          <w:left w:val="single" w:sz="4" w:space="4" w:color="auto"/>
          <w:bottom w:val="single" w:sz="4" w:space="1" w:color="auto"/>
          <w:right w:val="single" w:sz="4" w:space="4" w:color="auto"/>
        </w:pBdr>
        <w:ind w:firstLineChars="0" w:firstLine="0"/>
        <w:rPr>
          <w:color w:val="000000"/>
        </w:rPr>
      </w:pPr>
      <w:r w:rsidRPr="00746871">
        <w:rPr>
          <w:rFonts w:hint="eastAsia"/>
          <w:color w:val="000000"/>
        </w:rPr>
        <w:t xml:space="preserve">2. </w:t>
      </w:r>
      <w:r w:rsidRPr="00746871">
        <w:rPr>
          <w:rFonts w:hint="eastAsia"/>
          <w:color w:val="000000"/>
        </w:rPr>
        <w:t>核查过程和方法</w:t>
      </w:r>
    </w:p>
    <w:p w14:paraId="72A8E3EA" w14:textId="77777777" w:rsidR="00FB562A" w:rsidRPr="00746871" w:rsidRDefault="00FB562A" w:rsidP="002F2B19">
      <w:pPr>
        <w:pBdr>
          <w:top w:val="single" w:sz="4" w:space="1" w:color="auto"/>
          <w:left w:val="single" w:sz="4" w:space="4" w:color="auto"/>
          <w:bottom w:val="single" w:sz="4" w:space="1" w:color="auto"/>
          <w:right w:val="single" w:sz="4" w:space="4" w:color="auto"/>
        </w:pBdr>
        <w:ind w:firstLineChars="100" w:firstLine="210"/>
        <w:rPr>
          <w:color w:val="000000"/>
        </w:rPr>
      </w:pPr>
      <w:r w:rsidRPr="00746871">
        <w:rPr>
          <w:rFonts w:hint="eastAsia"/>
          <w:color w:val="000000"/>
        </w:rPr>
        <w:t xml:space="preserve">2.1 </w:t>
      </w:r>
      <w:r w:rsidRPr="00746871">
        <w:rPr>
          <w:rFonts w:hint="eastAsia"/>
          <w:color w:val="000000"/>
        </w:rPr>
        <w:t>核查组安排</w:t>
      </w:r>
    </w:p>
    <w:p w14:paraId="543C7BC5" w14:textId="77777777" w:rsidR="00FB562A" w:rsidRPr="00746871" w:rsidRDefault="00FB562A" w:rsidP="002F2B19">
      <w:pPr>
        <w:pBdr>
          <w:top w:val="single" w:sz="4" w:space="1" w:color="auto"/>
          <w:left w:val="single" w:sz="4" w:space="4" w:color="auto"/>
          <w:bottom w:val="single" w:sz="4" w:space="1" w:color="auto"/>
          <w:right w:val="single" w:sz="4" w:space="4" w:color="auto"/>
        </w:pBdr>
        <w:ind w:firstLineChars="100" w:firstLine="210"/>
        <w:rPr>
          <w:color w:val="000000"/>
        </w:rPr>
      </w:pPr>
      <w:r w:rsidRPr="00746871">
        <w:rPr>
          <w:rFonts w:hint="eastAsia"/>
          <w:color w:val="000000"/>
        </w:rPr>
        <w:t xml:space="preserve">2.2 </w:t>
      </w:r>
      <w:r w:rsidRPr="00746871">
        <w:rPr>
          <w:rFonts w:hint="eastAsia"/>
          <w:color w:val="000000"/>
        </w:rPr>
        <w:t>文件评审</w:t>
      </w:r>
    </w:p>
    <w:p w14:paraId="2F6526D5" w14:textId="77777777" w:rsidR="00FB562A" w:rsidRPr="00746871" w:rsidRDefault="00FB562A" w:rsidP="002F2B19">
      <w:pPr>
        <w:pBdr>
          <w:top w:val="single" w:sz="4" w:space="1" w:color="auto"/>
          <w:left w:val="single" w:sz="4" w:space="4" w:color="auto"/>
          <w:bottom w:val="single" w:sz="4" w:space="1" w:color="auto"/>
          <w:right w:val="single" w:sz="4" w:space="4" w:color="auto"/>
        </w:pBdr>
        <w:ind w:firstLineChars="100" w:firstLine="210"/>
        <w:rPr>
          <w:color w:val="000000"/>
        </w:rPr>
      </w:pPr>
      <w:r w:rsidRPr="00746871">
        <w:rPr>
          <w:rFonts w:hint="eastAsia"/>
          <w:color w:val="000000"/>
        </w:rPr>
        <w:t>2.3</w:t>
      </w:r>
      <w:r w:rsidRPr="00746871">
        <w:rPr>
          <w:rFonts w:hint="eastAsia"/>
          <w:color w:val="000000"/>
        </w:rPr>
        <w:t>现场核查</w:t>
      </w:r>
    </w:p>
    <w:p w14:paraId="568F934B" w14:textId="77777777" w:rsidR="00FB562A" w:rsidRPr="00746871" w:rsidRDefault="00FB562A" w:rsidP="002F2B19">
      <w:pPr>
        <w:pBdr>
          <w:top w:val="single" w:sz="4" w:space="1" w:color="auto"/>
          <w:left w:val="single" w:sz="4" w:space="4" w:color="auto"/>
          <w:bottom w:val="single" w:sz="4" w:space="1" w:color="auto"/>
          <w:right w:val="single" w:sz="4" w:space="4" w:color="auto"/>
        </w:pBdr>
        <w:ind w:firstLineChars="100" w:firstLine="210"/>
        <w:rPr>
          <w:color w:val="000000"/>
        </w:rPr>
      </w:pPr>
      <w:r w:rsidRPr="00746871">
        <w:rPr>
          <w:rFonts w:hint="eastAsia"/>
          <w:color w:val="000000"/>
        </w:rPr>
        <w:t xml:space="preserve">2.4 </w:t>
      </w:r>
      <w:r w:rsidRPr="00746871">
        <w:rPr>
          <w:rFonts w:hint="eastAsia"/>
          <w:color w:val="000000"/>
        </w:rPr>
        <w:t>核查报告编写及内部技术复核</w:t>
      </w:r>
    </w:p>
    <w:p w14:paraId="5D127CE3" w14:textId="77777777" w:rsidR="00FB562A" w:rsidRPr="00746871" w:rsidRDefault="00FB562A" w:rsidP="000259CE">
      <w:pPr>
        <w:pBdr>
          <w:top w:val="single" w:sz="4" w:space="1" w:color="auto"/>
          <w:left w:val="single" w:sz="4" w:space="4" w:color="auto"/>
          <w:bottom w:val="single" w:sz="4" w:space="1" w:color="auto"/>
          <w:right w:val="single" w:sz="4" w:space="4" w:color="auto"/>
        </w:pBdr>
        <w:ind w:firstLineChars="0" w:firstLine="0"/>
        <w:rPr>
          <w:color w:val="000000"/>
        </w:rPr>
      </w:pPr>
      <w:r w:rsidRPr="00746871">
        <w:rPr>
          <w:rFonts w:hint="eastAsia"/>
          <w:color w:val="000000"/>
        </w:rPr>
        <w:t xml:space="preserve">3. </w:t>
      </w:r>
      <w:r w:rsidRPr="00746871">
        <w:rPr>
          <w:rFonts w:hint="eastAsia"/>
          <w:color w:val="000000"/>
        </w:rPr>
        <w:t>核查发现</w:t>
      </w:r>
    </w:p>
    <w:p w14:paraId="294DE5BC" w14:textId="77777777" w:rsidR="00FB562A" w:rsidRPr="00746871" w:rsidRDefault="00FB562A" w:rsidP="002F2B19">
      <w:pPr>
        <w:pBdr>
          <w:top w:val="single" w:sz="4" w:space="1" w:color="auto"/>
          <w:left w:val="single" w:sz="4" w:space="4" w:color="auto"/>
          <w:bottom w:val="single" w:sz="4" w:space="1" w:color="auto"/>
          <w:right w:val="single" w:sz="4" w:space="4" w:color="auto"/>
        </w:pBdr>
        <w:ind w:firstLineChars="100" w:firstLine="210"/>
        <w:rPr>
          <w:color w:val="000000"/>
        </w:rPr>
      </w:pPr>
      <w:r w:rsidRPr="00746871">
        <w:rPr>
          <w:rFonts w:hint="eastAsia"/>
          <w:color w:val="000000"/>
        </w:rPr>
        <w:t xml:space="preserve">3.1 </w:t>
      </w:r>
      <w:r w:rsidRPr="00746871">
        <w:rPr>
          <w:rFonts w:hint="eastAsia"/>
          <w:color w:val="000000"/>
        </w:rPr>
        <w:t>重点排放单位基本情况的核查</w:t>
      </w:r>
    </w:p>
    <w:p w14:paraId="2C732BE6" w14:textId="77777777" w:rsidR="00FB562A" w:rsidRPr="00746871" w:rsidRDefault="00FB562A" w:rsidP="002F2B19">
      <w:pPr>
        <w:pBdr>
          <w:top w:val="single" w:sz="4" w:space="1" w:color="auto"/>
          <w:left w:val="single" w:sz="4" w:space="4" w:color="auto"/>
          <w:bottom w:val="single" w:sz="4" w:space="1" w:color="auto"/>
          <w:right w:val="single" w:sz="4" w:space="4" w:color="auto"/>
        </w:pBdr>
        <w:ind w:firstLineChars="100" w:firstLine="210"/>
        <w:rPr>
          <w:color w:val="000000"/>
        </w:rPr>
      </w:pPr>
      <w:r w:rsidRPr="00746871">
        <w:rPr>
          <w:rFonts w:hint="eastAsia"/>
          <w:color w:val="000000"/>
        </w:rPr>
        <w:t xml:space="preserve">3.2 </w:t>
      </w:r>
      <w:r w:rsidRPr="00746871">
        <w:rPr>
          <w:rFonts w:hint="eastAsia"/>
          <w:color w:val="000000"/>
        </w:rPr>
        <w:t>核算边界的核查</w:t>
      </w:r>
    </w:p>
    <w:p w14:paraId="5967DEC9" w14:textId="77777777" w:rsidR="00FB562A" w:rsidRPr="00746871" w:rsidRDefault="00FB562A" w:rsidP="002F2B19">
      <w:pPr>
        <w:pBdr>
          <w:top w:val="single" w:sz="4" w:space="1" w:color="auto"/>
          <w:left w:val="single" w:sz="4" w:space="4" w:color="auto"/>
          <w:bottom w:val="single" w:sz="4" w:space="1" w:color="auto"/>
          <w:right w:val="single" w:sz="4" w:space="4" w:color="auto"/>
        </w:pBdr>
        <w:ind w:firstLineChars="100" w:firstLine="210"/>
        <w:rPr>
          <w:color w:val="000000"/>
        </w:rPr>
      </w:pPr>
      <w:r w:rsidRPr="00746871">
        <w:rPr>
          <w:rFonts w:hint="eastAsia"/>
          <w:color w:val="000000"/>
        </w:rPr>
        <w:t xml:space="preserve">3.3 </w:t>
      </w:r>
      <w:r w:rsidRPr="00746871">
        <w:rPr>
          <w:rFonts w:hint="eastAsia"/>
          <w:color w:val="000000"/>
        </w:rPr>
        <w:t>核算方法的核查</w:t>
      </w:r>
    </w:p>
    <w:p w14:paraId="00DAA2C2" w14:textId="77777777" w:rsidR="00FB562A" w:rsidRPr="00746871" w:rsidRDefault="00FB562A" w:rsidP="002F2B19">
      <w:pPr>
        <w:pBdr>
          <w:top w:val="single" w:sz="4" w:space="1" w:color="auto"/>
          <w:left w:val="single" w:sz="4" w:space="4" w:color="auto"/>
          <w:bottom w:val="single" w:sz="4" w:space="1" w:color="auto"/>
          <w:right w:val="single" w:sz="4" w:space="4" w:color="auto"/>
        </w:pBdr>
        <w:ind w:firstLineChars="100" w:firstLine="210"/>
        <w:rPr>
          <w:color w:val="000000"/>
        </w:rPr>
      </w:pPr>
      <w:r w:rsidRPr="00746871">
        <w:rPr>
          <w:rFonts w:hint="eastAsia"/>
          <w:color w:val="000000"/>
        </w:rPr>
        <w:t xml:space="preserve">3.4 </w:t>
      </w:r>
      <w:r w:rsidRPr="00746871">
        <w:rPr>
          <w:rFonts w:hint="eastAsia"/>
          <w:color w:val="000000"/>
        </w:rPr>
        <w:t>核算数据的核查</w:t>
      </w:r>
    </w:p>
    <w:p w14:paraId="5EA2A8DE" w14:textId="77777777" w:rsidR="00FB562A" w:rsidRPr="00746871" w:rsidRDefault="00FB562A" w:rsidP="002F2B19">
      <w:pPr>
        <w:pBdr>
          <w:top w:val="single" w:sz="4" w:space="1" w:color="auto"/>
          <w:left w:val="single" w:sz="4" w:space="4" w:color="auto"/>
          <w:bottom w:val="single" w:sz="4" w:space="1" w:color="auto"/>
          <w:right w:val="single" w:sz="4" w:space="4" w:color="auto"/>
        </w:pBdr>
        <w:ind w:firstLine="420"/>
        <w:rPr>
          <w:color w:val="000000"/>
        </w:rPr>
      </w:pPr>
      <w:r w:rsidRPr="00746871">
        <w:rPr>
          <w:rFonts w:hint="eastAsia"/>
          <w:color w:val="000000"/>
        </w:rPr>
        <w:t xml:space="preserve">3.4.1 </w:t>
      </w:r>
      <w:r w:rsidRPr="00746871">
        <w:rPr>
          <w:rFonts w:hint="eastAsia"/>
          <w:color w:val="000000"/>
        </w:rPr>
        <w:t>活动数据及来源的核查</w:t>
      </w:r>
    </w:p>
    <w:p w14:paraId="213535ED" w14:textId="77777777" w:rsidR="00FB562A" w:rsidRPr="00746871" w:rsidRDefault="00FB562A" w:rsidP="002F2B19">
      <w:pPr>
        <w:pBdr>
          <w:top w:val="single" w:sz="4" w:space="1" w:color="auto"/>
          <w:left w:val="single" w:sz="4" w:space="4" w:color="auto"/>
          <w:bottom w:val="single" w:sz="4" w:space="1" w:color="auto"/>
          <w:right w:val="single" w:sz="4" w:space="4" w:color="auto"/>
        </w:pBdr>
        <w:ind w:firstLineChars="300" w:firstLine="630"/>
        <w:rPr>
          <w:color w:val="000000"/>
        </w:rPr>
      </w:pPr>
      <w:r w:rsidRPr="00746871">
        <w:rPr>
          <w:rFonts w:hint="eastAsia"/>
          <w:color w:val="000000"/>
        </w:rPr>
        <w:t xml:space="preserve">3.4.1.1 </w:t>
      </w:r>
      <w:r w:rsidRPr="00746871">
        <w:rPr>
          <w:rFonts w:hint="eastAsia"/>
          <w:color w:val="000000"/>
        </w:rPr>
        <w:t>活动数据</w:t>
      </w:r>
      <w:r w:rsidRPr="00746871">
        <w:rPr>
          <w:rFonts w:hint="eastAsia"/>
          <w:color w:val="000000"/>
        </w:rPr>
        <w:t>1</w:t>
      </w:r>
    </w:p>
    <w:p w14:paraId="11628BE8" w14:textId="77777777" w:rsidR="00FB562A" w:rsidRPr="00746871" w:rsidRDefault="00FB562A" w:rsidP="002F2B19">
      <w:pPr>
        <w:pBdr>
          <w:top w:val="single" w:sz="4" w:space="1" w:color="auto"/>
          <w:left w:val="single" w:sz="4" w:space="4" w:color="auto"/>
          <w:bottom w:val="single" w:sz="4" w:space="1" w:color="auto"/>
          <w:right w:val="single" w:sz="4" w:space="4" w:color="auto"/>
        </w:pBdr>
        <w:ind w:firstLineChars="300" w:firstLine="630"/>
        <w:rPr>
          <w:color w:val="000000"/>
        </w:rPr>
      </w:pPr>
      <w:r w:rsidRPr="00746871">
        <w:rPr>
          <w:rFonts w:hint="eastAsia"/>
          <w:color w:val="000000"/>
        </w:rPr>
        <w:t xml:space="preserve">3.4.1.2 </w:t>
      </w:r>
      <w:r w:rsidRPr="00746871">
        <w:rPr>
          <w:rFonts w:hint="eastAsia"/>
          <w:color w:val="000000"/>
        </w:rPr>
        <w:t>活动数据</w:t>
      </w:r>
      <w:r w:rsidRPr="00746871">
        <w:rPr>
          <w:rFonts w:hint="eastAsia"/>
          <w:color w:val="000000"/>
        </w:rPr>
        <w:t>2</w:t>
      </w:r>
    </w:p>
    <w:p w14:paraId="0C9E0FB6" w14:textId="77777777" w:rsidR="00FB562A" w:rsidRPr="00746871" w:rsidRDefault="00FB562A" w:rsidP="002F2B19">
      <w:pPr>
        <w:pBdr>
          <w:top w:val="single" w:sz="4" w:space="1" w:color="auto"/>
          <w:left w:val="single" w:sz="4" w:space="4" w:color="auto"/>
          <w:bottom w:val="single" w:sz="4" w:space="1" w:color="auto"/>
          <w:right w:val="single" w:sz="4" w:space="4" w:color="auto"/>
        </w:pBdr>
        <w:ind w:firstLineChars="300" w:firstLine="630"/>
        <w:rPr>
          <w:color w:val="000000"/>
        </w:rPr>
      </w:pPr>
      <w:r w:rsidRPr="00746871">
        <w:rPr>
          <w:rFonts w:hint="eastAsia"/>
          <w:color w:val="000000"/>
        </w:rPr>
        <w:t>……</w:t>
      </w:r>
    </w:p>
    <w:p w14:paraId="26CD7716" w14:textId="77777777" w:rsidR="00FB562A" w:rsidRPr="00746871" w:rsidRDefault="00FB562A" w:rsidP="002F2B19">
      <w:pPr>
        <w:pBdr>
          <w:top w:val="single" w:sz="4" w:space="1" w:color="auto"/>
          <w:left w:val="single" w:sz="4" w:space="4" w:color="auto"/>
          <w:bottom w:val="single" w:sz="4" w:space="1" w:color="auto"/>
          <w:right w:val="single" w:sz="4" w:space="4" w:color="auto"/>
        </w:pBdr>
        <w:ind w:firstLine="420"/>
        <w:rPr>
          <w:color w:val="000000"/>
        </w:rPr>
      </w:pPr>
      <w:r w:rsidRPr="00746871">
        <w:rPr>
          <w:rFonts w:hint="eastAsia"/>
          <w:color w:val="000000"/>
        </w:rPr>
        <w:t xml:space="preserve">3.4.2 </w:t>
      </w:r>
      <w:r w:rsidRPr="00746871">
        <w:rPr>
          <w:rFonts w:hint="eastAsia"/>
          <w:color w:val="000000"/>
        </w:rPr>
        <w:t>排放因子和计算系数数据及来源的核查</w:t>
      </w:r>
    </w:p>
    <w:p w14:paraId="335E42C9" w14:textId="77777777" w:rsidR="00FB562A" w:rsidRPr="00746871" w:rsidRDefault="00FB562A" w:rsidP="002F2B19">
      <w:pPr>
        <w:pBdr>
          <w:top w:val="single" w:sz="4" w:space="1" w:color="auto"/>
          <w:left w:val="single" w:sz="4" w:space="4" w:color="auto"/>
          <w:bottom w:val="single" w:sz="4" w:space="1" w:color="auto"/>
          <w:right w:val="single" w:sz="4" w:space="4" w:color="auto"/>
        </w:pBdr>
        <w:ind w:firstLine="420"/>
        <w:rPr>
          <w:color w:val="000000"/>
        </w:rPr>
      </w:pPr>
      <w:r w:rsidRPr="00746871">
        <w:rPr>
          <w:rFonts w:hint="eastAsia"/>
          <w:color w:val="000000"/>
        </w:rPr>
        <w:t xml:space="preserve">3.4.2.1 </w:t>
      </w:r>
      <w:r w:rsidRPr="00746871">
        <w:rPr>
          <w:rFonts w:hint="eastAsia"/>
          <w:color w:val="000000"/>
        </w:rPr>
        <w:t>排放因子和计算系数</w:t>
      </w:r>
      <w:r w:rsidRPr="00746871">
        <w:rPr>
          <w:rFonts w:hint="eastAsia"/>
          <w:color w:val="000000"/>
        </w:rPr>
        <w:t>1</w:t>
      </w:r>
    </w:p>
    <w:p w14:paraId="4234F0E9" w14:textId="77777777" w:rsidR="00FB562A" w:rsidRPr="00746871" w:rsidRDefault="00FB562A" w:rsidP="002F2B19">
      <w:pPr>
        <w:pBdr>
          <w:top w:val="single" w:sz="4" w:space="1" w:color="auto"/>
          <w:left w:val="single" w:sz="4" w:space="4" w:color="auto"/>
          <w:bottom w:val="single" w:sz="4" w:space="1" w:color="auto"/>
          <w:right w:val="single" w:sz="4" w:space="4" w:color="auto"/>
        </w:pBdr>
        <w:ind w:firstLine="420"/>
        <w:rPr>
          <w:color w:val="000000"/>
        </w:rPr>
      </w:pPr>
      <w:r w:rsidRPr="00746871">
        <w:rPr>
          <w:rFonts w:hint="eastAsia"/>
          <w:color w:val="000000"/>
        </w:rPr>
        <w:t xml:space="preserve">3.4.2.2 </w:t>
      </w:r>
      <w:r w:rsidRPr="00746871">
        <w:rPr>
          <w:rFonts w:hint="eastAsia"/>
          <w:color w:val="000000"/>
        </w:rPr>
        <w:t>排放因子和计算系数</w:t>
      </w:r>
      <w:r w:rsidRPr="00746871">
        <w:rPr>
          <w:rFonts w:hint="eastAsia"/>
          <w:color w:val="000000"/>
        </w:rPr>
        <w:t>2</w:t>
      </w:r>
    </w:p>
    <w:p w14:paraId="040AF6F6" w14:textId="77777777" w:rsidR="00FB562A" w:rsidRPr="00746871" w:rsidRDefault="00FB562A" w:rsidP="002F2B19">
      <w:pPr>
        <w:pBdr>
          <w:top w:val="single" w:sz="4" w:space="1" w:color="auto"/>
          <w:left w:val="single" w:sz="4" w:space="4" w:color="auto"/>
          <w:bottom w:val="single" w:sz="4" w:space="1" w:color="auto"/>
          <w:right w:val="single" w:sz="4" w:space="4" w:color="auto"/>
        </w:pBdr>
        <w:ind w:firstLine="420"/>
        <w:rPr>
          <w:color w:val="000000"/>
        </w:rPr>
      </w:pPr>
      <w:r w:rsidRPr="00746871">
        <w:rPr>
          <w:rFonts w:hint="eastAsia"/>
          <w:color w:val="000000"/>
        </w:rPr>
        <w:t>……</w:t>
      </w:r>
    </w:p>
    <w:p w14:paraId="33B0E674" w14:textId="77777777" w:rsidR="00FB562A" w:rsidRPr="00746871" w:rsidRDefault="00FB562A" w:rsidP="002F2B19">
      <w:pPr>
        <w:pBdr>
          <w:top w:val="single" w:sz="4" w:space="1" w:color="auto"/>
          <w:left w:val="single" w:sz="4" w:space="4" w:color="auto"/>
          <w:bottom w:val="single" w:sz="4" w:space="1" w:color="auto"/>
          <w:right w:val="single" w:sz="4" w:space="4" w:color="auto"/>
        </w:pBdr>
        <w:ind w:firstLine="420"/>
        <w:rPr>
          <w:color w:val="000000"/>
        </w:rPr>
      </w:pPr>
      <w:r w:rsidRPr="00746871">
        <w:rPr>
          <w:rFonts w:hint="eastAsia"/>
          <w:color w:val="000000"/>
        </w:rPr>
        <w:t xml:space="preserve">3.4.3 </w:t>
      </w:r>
      <w:r w:rsidRPr="00746871">
        <w:rPr>
          <w:rFonts w:hint="eastAsia"/>
          <w:color w:val="000000"/>
        </w:rPr>
        <w:t>排放量的核查</w:t>
      </w:r>
    </w:p>
    <w:p w14:paraId="2485B4A1" w14:textId="77777777" w:rsidR="00FB562A" w:rsidRPr="00746871" w:rsidRDefault="00FB562A" w:rsidP="002F2B19">
      <w:pPr>
        <w:pBdr>
          <w:top w:val="single" w:sz="4" w:space="1" w:color="auto"/>
          <w:left w:val="single" w:sz="4" w:space="4" w:color="auto"/>
          <w:bottom w:val="single" w:sz="4" w:space="1" w:color="auto"/>
          <w:right w:val="single" w:sz="4" w:space="4" w:color="auto"/>
        </w:pBdr>
        <w:ind w:firstLine="420"/>
        <w:rPr>
          <w:color w:val="000000"/>
        </w:rPr>
      </w:pPr>
      <w:r w:rsidRPr="00746871">
        <w:rPr>
          <w:rFonts w:hint="eastAsia"/>
          <w:color w:val="000000"/>
        </w:rPr>
        <w:t>3.4.4</w:t>
      </w:r>
      <w:r w:rsidRPr="00746871">
        <w:rPr>
          <w:rFonts w:hint="eastAsia"/>
          <w:color w:val="000000"/>
        </w:rPr>
        <w:t>配额分配相关补充数据的核查</w:t>
      </w:r>
    </w:p>
    <w:p w14:paraId="386F38B7" w14:textId="77777777" w:rsidR="00FB562A" w:rsidRPr="00746871" w:rsidRDefault="00FB562A" w:rsidP="00BD65F4">
      <w:pPr>
        <w:pBdr>
          <w:top w:val="single" w:sz="4" w:space="1" w:color="auto"/>
          <w:left w:val="single" w:sz="4" w:space="4" w:color="auto"/>
          <w:bottom w:val="single" w:sz="4" w:space="1" w:color="auto"/>
          <w:right w:val="single" w:sz="4" w:space="4" w:color="auto"/>
        </w:pBdr>
        <w:ind w:firstLineChars="95" w:firstLine="199"/>
        <w:rPr>
          <w:color w:val="000000"/>
        </w:rPr>
      </w:pPr>
      <w:r w:rsidRPr="00746871">
        <w:rPr>
          <w:rFonts w:hint="eastAsia"/>
          <w:color w:val="000000"/>
        </w:rPr>
        <w:t xml:space="preserve">3.5 </w:t>
      </w:r>
      <w:r w:rsidRPr="00746871">
        <w:rPr>
          <w:rFonts w:hint="eastAsia"/>
          <w:color w:val="000000"/>
        </w:rPr>
        <w:t>质量保证和文件存档的核查</w:t>
      </w:r>
    </w:p>
    <w:p w14:paraId="1DDF8F1D" w14:textId="77777777" w:rsidR="00FB562A" w:rsidRPr="00746871" w:rsidRDefault="00FB562A" w:rsidP="00BD65F4">
      <w:pPr>
        <w:pBdr>
          <w:top w:val="single" w:sz="4" w:space="1" w:color="auto"/>
          <w:left w:val="single" w:sz="4" w:space="4" w:color="auto"/>
          <w:bottom w:val="single" w:sz="4" w:space="1" w:color="auto"/>
          <w:right w:val="single" w:sz="4" w:space="4" w:color="auto"/>
        </w:pBdr>
        <w:ind w:firstLineChars="100" w:firstLine="210"/>
        <w:rPr>
          <w:color w:val="000000"/>
        </w:rPr>
      </w:pPr>
      <w:r w:rsidRPr="00746871">
        <w:rPr>
          <w:rFonts w:hint="eastAsia"/>
          <w:color w:val="000000"/>
        </w:rPr>
        <w:t xml:space="preserve">3.6 </w:t>
      </w:r>
      <w:r w:rsidRPr="00746871">
        <w:rPr>
          <w:rFonts w:hint="eastAsia"/>
          <w:color w:val="000000"/>
        </w:rPr>
        <w:t>其他核查发现</w:t>
      </w:r>
    </w:p>
    <w:p w14:paraId="2481FBB7" w14:textId="77777777" w:rsidR="00FB562A" w:rsidRPr="00746871" w:rsidRDefault="00FB562A" w:rsidP="000259CE">
      <w:pPr>
        <w:pBdr>
          <w:top w:val="single" w:sz="4" w:space="1" w:color="auto"/>
          <w:left w:val="single" w:sz="4" w:space="4" w:color="auto"/>
          <w:bottom w:val="single" w:sz="4" w:space="1" w:color="auto"/>
          <w:right w:val="single" w:sz="4" w:space="4" w:color="auto"/>
        </w:pBdr>
        <w:ind w:firstLineChars="0" w:firstLine="0"/>
        <w:rPr>
          <w:color w:val="000000"/>
        </w:rPr>
      </w:pPr>
      <w:r w:rsidRPr="00746871">
        <w:rPr>
          <w:rFonts w:hint="eastAsia"/>
          <w:color w:val="000000"/>
        </w:rPr>
        <w:t xml:space="preserve">4. </w:t>
      </w:r>
      <w:r w:rsidRPr="00746871">
        <w:rPr>
          <w:rFonts w:hint="eastAsia"/>
          <w:color w:val="000000"/>
        </w:rPr>
        <w:t>核查结论</w:t>
      </w:r>
    </w:p>
    <w:p w14:paraId="29A26D74" w14:textId="77777777" w:rsidR="00FB562A" w:rsidRPr="00746871" w:rsidRDefault="00FB562A" w:rsidP="000259CE">
      <w:pPr>
        <w:pBdr>
          <w:top w:val="single" w:sz="4" w:space="1" w:color="auto"/>
          <w:left w:val="single" w:sz="4" w:space="4" w:color="auto"/>
          <w:bottom w:val="single" w:sz="4" w:space="1" w:color="auto"/>
          <w:right w:val="single" w:sz="4" w:space="4" w:color="auto"/>
        </w:pBdr>
        <w:ind w:firstLineChars="0" w:firstLine="0"/>
        <w:rPr>
          <w:color w:val="000000"/>
        </w:rPr>
      </w:pPr>
      <w:r w:rsidRPr="00746871">
        <w:rPr>
          <w:rFonts w:hint="eastAsia"/>
          <w:color w:val="000000"/>
        </w:rPr>
        <w:t xml:space="preserve">5. </w:t>
      </w:r>
      <w:r w:rsidRPr="00746871">
        <w:rPr>
          <w:rFonts w:hint="eastAsia"/>
          <w:color w:val="000000"/>
        </w:rPr>
        <w:t>附件</w:t>
      </w:r>
    </w:p>
    <w:p w14:paraId="574DCA0A" w14:textId="77777777" w:rsidR="00FB562A" w:rsidRPr="00746871" w:rsidRDefault="00FB562A" w:rsidP="000259CE">
      <w:pPr>
        <w:pBdr>
          <w:top w:val="single" w:sz="4" w:space="1" w:color="auto"/>
          <w:left w:val="single" w:sz="4" w:space="4" w:color="auto"/>
          <w:bottom w:val="single" w:sz="4" w:space="1" w:color="auto"/>
          <w:right w:val="single" w:sz="4" w:space="4" w:color="auto"/>
        </w:pBdr>
        <w:ind w:firstLineChars="0" w:firstLine="0"/>
        <w:rPr>
          <w:color w:val="000000"/>
        </w:rPr>
      </w:pPr>
      <w:r w:rsidRPr="00746871">
        <w:rPr>
          <w:rFonts w:hint="eastAsia"/>
          <w:color w:val="000000"/>
        </w:rPr>
        <w:t>附件</w:t>
      </w:r>
      <w:r w:rsidRPr="00746871">
        <w:rPr>
          <w:rFonts w:hint="eastAsia"/>
          <w:color w:val="000000"/>
        </w:rPr>
        <w:t>1</w:t>
      </w:r>
      <w:r w:rsidRPr="00746871">
        <w:rPr>
          <w:rFonts w:hint="eastAsia"/>
          <w:color w:val="000000"/>
        </w:rPr>
        <w:t>：不符合清单</w:t>
      </w:r>
    </w:p>
    <w:p w14:paraId="5E4CC5BC" w14:textId="77777777" w:rsidR="00FB562A" w:rsidRPr="00746871" w:rsidRDefault="00FB562A" w:rsidP="000259CE">
      <w:pPr>
        <w:pBdr>
          <w:top w:val="single" w:sz="4" w:space="1" w:color="auto"/>
          <w:left w:val="single" w:sz="4" w:space="4" w:color="auto"/>
          <w:bottom w:val="single" w:sz="4" w:space="1" w:color="auto"/>
          <w:right w:val="single" w:sz="4" w:space="4" w:color="auto"/>
        </w:pBdr>
        <w:ind w:firstLineChars="0" w:firstLine="0"/>
        <w:rPr>
          <w:color w:val="000000"/>
        </w:rPr>
      </w:pPr>
      <w:r w:rsidRPr="00746871">
        <w:rPr>
          <w:rFonts w:hint="eastAsia"/>
          <w:color w:val="000000"/>
        </w:rPr>
        <w:t>附件</w:t>
      </w:r>
      <w:r w:rsidRPr="00746871">
        <w:rPr>
          <w:rFonts w:hint="eastAsia"/>
          <w:color w:val="000000"/>
        </w:rPr>
        <w:t>2</w:t>
      </w:r>
      <w:r w:rsidRPr="00746871">
        <w:rPr>
          <w:rFonts w:hint="eastAsia"/>
          <w:color w:val="000000"/>
        </w:rPr>
        <w:t>：对今后核算活动的建议</w:t>
      </w:r>
    </w:p>
    <w:p w14:paraId="424AB0E9" w14:textId="77777777" w:rsidR="00FB562A" w:rsidRDefault="00FB562A" w:rsidP="000259CE">
      <w:pPr>
        <w:pBdr>
          <w:top w:val="single" w:sz="4" w:space="1" w:color="auto"/>
          <w:left w:val="single" w:sz="4" w:space="4" w:color="auto"/>
          <w:bottom w:val="single" w:sz="4" w:space="1" w:color="auto"/>
          <w:right w:val="single" w:sz="4" w:space="4" w:color="auto"/>
        </w:pBdr>
        <w:ind w:firstLineChars="0" w:firstLine="0"/>
        <w:rPr>
          <w:color w:val="000000"/>
        </w:rPr>
      </w:pPr>
      <w:r w:rsidRPr="00746871">
        <w:rPr>
          <w:rFonts w:hint="eastAsia"/>
          <w:color w:val="000000"/>
        </w:rPr>
        <w:t>支持性文件清单</w:t>
      </w:r>
    </w:p>
    <w:p w14:paraId="4671BEE6" w14:textId="77777777" w:rsidR="00FB562A" w:rsidRDefault="00FB562A" w:rsidP="00FB562A">
      <w:pPr>
        <w:pStyle w:val="a9"/>
        <w:jc w:val="left"/>
      </w:pPr>
    </w:p>
    <w:p w14:paraId="0C1A4D0A" w14:textId="6C60FCB3" w:rsidR="00205610" w:rsidRDefault="00205610" w:rsidP="00FB562A">
      <w:pPr>
        <w:pStyle w:val="a9"/>
        <w:jc w:val="center"/>
      </w:pPr>
    </w:p>
    <w:sectPr w:rsidR="00205610" w:rsidSect="0090343F">
      <w:pgSz w:w="11906" w:h="16838"/>
      <w:pgMar w:top="567" w:right="1134" w:bottom="1134" w:left="1418" w:header="1418" w:footer="1134" w:gutter="0"/>
      <w:pgNumType w:start="1"/>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95C9B" w14:textId="77777777" w:rsidR="008A440C" w:rsidRDefault="008A440C">
      <w:pPr>
        <w:ind w:firstLine="420"/>
      </w:pPr>
      <w:r>
        <w:separator/>
      </w:r>
    </w:p>
  </w:endnote>
  <w:endnote w:type="continuationSeparator" w:id="0">
    <w:p w14:paraId="7AABCAA5" w14:textId="77777777" w:rsidR="008A440C" w:rsidRDefault="008A440C">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42935"/>
    </w:sdtPr>
    <w:sdtEndPr/>
    <w:sdtContent>
      <w:p w14:paraId="35F3F0EC" w14:textId="77777777" w:rsidR="00B40BF7" w:rsidRDefault="00B40BF7">
        <w:pPr>
          <w:pStyle w:val="aff1"/>
          <w:ind w:firstLine="360"/>
          <w:jc w:val="center"/>
        </w:pPr>
        <w:r>
          <w:fldChar w:fldCharType="begin"/>
        </w:r>
        <w:r>
          <w:instrText xml:space="preserve"> PAGE   \* MERGEFORMAT </w:instrText>
        </w:r>
        <w:r>
          <w:fldChar w:fldCharType="separate"/>
        </w:r>
        <w:r w:rsidRPr="00A62039">
          <w:rPr>
            <w:noProof/>
            <w:lang w:val="zh-CN"/>
          </w:rPr>
          <w:t>4</w:t>
        </w:r>
        <w:r>
          <w:rPr>
            <w:lang w:val="zh-C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B4AD0" w14:textId="77777777" w:rsidR="00C93BA4" w:rsidRDefault="00C93BA4">
    <w:pPr>
      <w:pStyle w:val="aff1"/>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0E591" w14:textId="77777777" w:rsidR="00C93BA4" w:rsidRDefault="00C93BA4">
    <w:pPr>
      <w:pStyle w:val="aff1"/>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E38D4" w14:textId="77777777" w:rsidR="00B40BF7" w:rsidRDefault="00B40BF7">
    <w:pPr>
      <w:pStyle w:val="ae"/>
    </w:pPr>
    <w:r>
      <w:fldChar w:fldCharType="begin"/>
    </w:r>
    <w:r>
      <w:instrText xml:space="preserve"> PAGE  \* MERGEFORMAT </w:instrText>
    </w:r>
    <w:r>
      <w:fldChar w:fldCharType="separate"/>
    </w:r>
    <w:r w:rsidR="006F4C88">
      <w:rPr>
        <w:noProof/>
      </w:rP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29E04" w14:textId="77777777" w:rsidR="008A440C" w:rsidRDefault="008A440C">
      <w:pPr>
        <w:ind w:firstLine="420"/>
      </w:pPr>
      <w:r>
        <w:separator/>
      </w:r>
    </w:p>
  </w:footnote>
  <w:footnote w:type="continuationSeparator" w:id="0">
    <w:p w14:paraId="06265D32" w14:textId="77777777" w:rsidR="008A440C" w:rsidRDefault="008A440C">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DB8A4" w14:textId="77777777" w:rsidR="00B40BF7" w:rsidRDefault="00B40BF7">
    <w:pPr>
      <w:pStyle w:val="affe"/>
      <w:jc w:val="right"/>
    </w:pPr>
    <w:r>
      <w:rPr>
        <w:rFonts w:hint="eastAsia"/>
      </w:rPr>
      <w:t>CBMF</w:t>
    </w:r>
    <w:r>
      <w:t xml:space="preserve"> XXXXX</w:t>
    </w:r>
    <w:r>
      <w:t>—</w:t>
    </w:r>
    <w:r>
      <w:t>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3D10B" w14:textId="77777777" w:rsidR="00C93BA4" w:rsidRPr="000A2709" w:rsidRDefault="00C93BA4" w:rsidP="000A2709">
    <w:pPr>
      <w:ind w:firstLine="4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1DC72" w14:textId="77777777" w:rsidR="00B40BF7" w:rsidRDefault="00B40BF7">
    <w:pPr>
      <w:pStyle w:val="affe"/>
      <w:ind w:firstLineChars="3800" w:firstLine="7980"/>
      <w:jc w:val="both"/>
    </w:pPr>
    <w:r>
      <w:rPr>
        <w:rFonts w:hint="eastAsia"/>
      </w:rPr>
      <w:t>CBMF2</w:t>
    </w:r>
    <w:r>
      <w:t>—</w:t>
    </w:r>
    <w:r>
      <w:rPr>
        <w:rFonts w:hint="eastAsia"/>
      </w:rPr>
      <w:t>2013</w:t>
    </w:r>
  </w:p>
  <w:p w14:paraId="78E2CDD6" w14:textId="77777777" w:rsidR="00B40BF7" w:rsidRDefault="00B40BF7">
    <w:pPr>
      <w:pStyle w:val="af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C8BFA" w14:textId="77777777" w:rsidR="00B40BF7" w:rsidRDefault="00B40BF7" w:rsidP="00021231">
    <w:pPr>
      <w:pStyle w:val="affe"/>
      <w:ind w:firstLine="420"/>
      <w:jc w:val="right"/>
    </w:pPr>
    <w:r>
      <w:rPr>
        <w:rFonts w:hint="eastAsia"/>
      </w:rPr>
      <w:t>CBMF</w:t>
    </w:r>
    <w:r>
      <w:t xml:space="preserve"> XXXXX</w:t>
    </w:r>
    <w:r>
      <w:t>—</w:t>
    </w:r>
    <w: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581"/>
    <w:multiLevelType w:val="multilevel"/>
    <w:tmpl w:val="03E04581"/>
    <w:lvl w:ilvl="0">
      <w:start w:val="1"/>
      <w:numFmt w:val="decimal"/>
      <w:lvlText w:val="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4D80142"/>
    <w:multiLevelType w:val="hybridMultilevel"/>
    <w:tmpl w:val="F15E4714"/>
    <w:lvl w:ilvl="0" w:tplc="04090019">
      <w:start w:val="1"/>
      <w:numFmt w:val="lowerLetter"/>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5D8583D"/>
    <w:multiLevelType w:val="hybridMultilevel"/>
    <w:tmpl w:val="3F30A1CA"/>
    <w:lvl w:ilvl="0" w:tplc="1C74E3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AB04D3"/>
    <w:multiLevelType w:val="hybridMultilevel"/>
    <w:tmpl w:val="B7AE30D4"/>
    <w:lvl w:ilvl="0" w:tplc="FBC4413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08833B08"/>
    <w:multiLevelType w:val="multilevel"/>
    <w:tmpl w:val="08833B08"/>
    <w:lvl w:ilvl="0">
      <w:start w:val="1"/>
      <w:numFmt w:val="lowerLetter"/>
      <w:lvlText w:val="%1)"/>
      <w:lvlJc w:val="left"/>
      <w:pPr>
        <w:ind w:left="840" w:hanging="420"/>
      </w:pPr>
      <w:rPr>
        <w:rFonts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0B532389"/>
    <w:multiLevelType w:val="multilevel"/>
    <w:tmpl w:val="0B532389"/>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9849EE"/>
    <w:multiLevelType w:val="hybridMultilevel"/>
    <w:tmpl w:val="E48087D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6C5040"/>
    <w:multiLevelType w:val="hybridMultilevel"/>
    <w:tmpl w:val="FDF0A97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94C3613"/>
    <w:multiLevelType w:val="multilevel"/>
    <w:tmpl w:val="194C3613"/>
    <w:lvl w:ilvl="0">
      <w:start w:val="1"/>
      <w:numFmt w:val="lowerLetter"/>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9" w15:restartNumberingAfterBreak="0">
    <w:nsid w:val="1B7D52C7"/>
    <w:multiLevelType w:val="hybridMultilevel"/>
    <w:tmpl w:val="ECE8332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1F261F27"/>
    <w:multiLevelType w:val="hybridMultilevel"/>
    <w:tmpl w:val="97BED81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lvlText w:val="3.%2"/>
      <w:lvlJc w:val="left"/>
      <w:pPr>
        <w:ind w:left="0" w:firstLine="0"/>
      </w:pPr>
      <w:rPr>
        <w:rFonts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15:restartNumberingAfterBreak="0">
    <w:nsid w:val="235B0CEB"/>
    <w:multiLevelType w:val="hybridMultilevel"/>
    <w:tmpl w:val="FDF0A97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7DA0401"/>
    <w:multiLevelType w:val="hybridMultilevel"/>
    <w:tmpl w:val="8DAC6392"/>
    <w:lvl w:ilvl="0" w:tplc="04090019">
      <w:start w:val="1"/>
      <w:numFmt w:val="lowerLetter"/>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2E552E6D"/>
    <w:multiLevelType w:val="hybridMultilevel"/>
    <w:tmpl w:val="FDF0A97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EA81060"/>
    <w:multiLevelType w:val="hybridMultilevel"/>
    <w:tmpl w:val="D6309F78"/>
    <w:lvl w:ilvl="0" w:tplc="04090019">
      <w:start w:val="1"/>
      <w:numFmt w:val="lowerLetter"/>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2F8D02B2"/>
    <w:multiLevelType w:val="hybridMultilevel"/>
    <w:tmpl w:val="414A045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1CD465A"/>
    <w:multiLevelType w:val="hybridMultilevel"/>
    <w:tmpl w:val="97BED81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15:restartNumberingAfterBreak="0">
    <w:nsid w:val="365B708D"/>
    <w:multiLevelType w:val="hybridMultilevel"/>
    <w:tmpl w:val="5BE4BE8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36E66632"/>
    <w:multiLevelType w:val="multilevel"/>
    <w:tmpl w:val="36E66632"/>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15:restartNumberingAfterBreak="0">
    <w:nsid w:val="42E7519F"/>
    <w:multiLevelType w:val="hybridMultilevel"/>
    <w:tmpl w:val="05FE27D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6515489"/>
    <w:multiLevelType w:val="multilevel"/>
    <w:tmpl w:val="46515489"/>
    <w:lvl w:ilvl="0">
      <w:start w:val="1"/>
      <w:numFmt w:val="decimal"/>
      <w:lvlText w:val="8.%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4C1B65B4"/>
    <w:multiLevelType w:val="hybridMultilevel"/>
    <w:tmpl w:val="2CAE933C"/>
    <w:lvl w:ilvl="0" w:tplc="E7A4387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1631891"/>
    <w:multiLevelType w:val="multilevel"/>
    <w:tmpl w:val="03E04581"/>
    <w:lvl w:ilvl="0">
      <w:start w:val="1"/>
      <w:numFmt w:val="decimal"/>
      <w:lvlText w:val="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571B682F"/>
    <w:multiLevelType w:val="hybridMultilevel"/>
    <w:tmpl w:val="3D960184"/>
    <w:lvl w:ilvl="0" w:tplc="2C2296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0962AB7"/>
    <w:multiLevelType w:val="hybridMultilevel"/>
    <w:tmpl w:val="E48087D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19A0DCE"/>
    <w:multiLevelType w:val="hybridMultilevel"/>
    <w:tmpl w:val="3F30A1CA"/>
    <w:lvl w:ilvl="0" w:tplc="1C74E3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46A73AE"/>
    <w:multiLevelType w:val="multilevel"/>
    <w:tmpl w:val="646A73AE"/>
    <w:lvl w:ilvl="0">
      <w:start w:val="1"/>
      <w:numFmt w:val="lowerLetter"/>
      <w:lvlText w:val="%1)"/>
      <w:lvlJc w:val="left"/>
      <w:pPr>
        <w:ind w:left="840" w:hanging="420"/>
      </w:pPr>
      <w:rPr>
        <w:rFonts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8" w15:restartNumberingAfterBreak="0">
    <w:nsid w:val="6B82276F"/>
    <w:multiLevelType w:val="multilevel"/>
    <w:tmpl w:val="46515489"/>
    <w:lvl w:ilvl="0">
      <w:start w:val="1"/>
      <w:numFmt w:val="decimal"/>
      <w:lvlText w:val="8.%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6DBF04F4"/>
    <w:multiLevelType w:val="multilevel"/>
    <w:tmpl w:val="6DBF04F4"/>
    <w:lvl w:ilvl="0">
      <w:start w:val="1"/>
      <w:numFmt w:val="none"/>
      <w:suff w:val="nothing"/>
      <w:lvlText w:val="%1注："/>
      <w:lvlJc w:val="left"/>
      <w:pPr>
        <w:ind w:left="363" w:hanging="363"/>
      </w:pPr>
      <w:rPr>
        <w:rFonts w:ascii="黑体" w:eastAsia="黑体" w:hAnsi="Times New Roman" w:hint="eastAsia"/>
        <w:b w:val="0"/>
        <w:i w:val="0"/>
        <w:sz w:val="18"/>
      </w:rPr>
    </w:lvl>
    <w:lvl w:ilvl="1">
      <w:start w:val="1"/>
      <w:numFmt w:val="lowerLetter"/>
      <w:pStyle w:val="a"/>
      <w:lvlText w:val="%2)"/>
      <w:lvlJc w:val="left"/>
      <w:pPr>
        <w:tabs>
          <w:tab w:val="num" w:pos="777"/>
        </w:tabs>
        <w:ind w:left="363" w:hanging="363"/>
      </w:pPr>
      <w:rPr>
        <w:rFonts w:hint="eastAsia"/>
      </w:rPr>
    </w:lvl>
    <w:lvl w:ilvl="2">
      <w:start w:val="1"/>
      <w:numFmt w:val="lowerRoman"/>
      <w:lvlText w:val="%3."/>
      <w:lvlJc w:val="right"/>
      <w:pPr>
        <w:tabs>
          <w:tab w:val="num" w:pos="777"/>
        </w:tabs>
        <w:ind w:left="363" w:hanging="363"/>
      </w:pPr>
      <w:rPr>
        <w:rFonts w:hint="eastAsia"/>
      </w:rPr>
    </w:lvl>
    <w:lvl w:ilvl="3">
      <w:start w:val="1"/>
      <w:numFmt w:val="decimal"/>
      <w:lvlText w:val="%4."/>
      <w:lvlJc w:val="left"/>
      <w:pPr>
        <w:tabs>
          <w:tab w:val="num" w:pos="777"/>
        </w:tabs>
        <w:ind w:left="363" w:hanging="363"/>
      </w:pPr>
      <w:rPr>
        <w:rFonts w:hint="eastAsia"/>
      </w:rPr>
    </w:lvl>
    <w:lvl w:ilvl="4">
      <w:start w:val="1"/>
      <w:numFmt w:val="lowerLetter"/>
      <w:lvlText w:val="%5)"/>
      <w:lvlJc w:val="left"/>
      <w:pPr>
        <w:tabs>
          <w:tab w:val="num" w:pos="777"/>
        </w:tabs>
        <w:ind w:left="363" w:hanging="363"/>
      </w:pPr>
      <w:rPr>
        <w:rFonts w:hint="eastAsia"/>
      </w:rPr>
    </w:lvl>
    <w:lvl w:ilvl="5">
      <w:start w:val="1"/>
      <w:numFmt w:val="lowerRoman"/>
      <w:lvlText w:val="%6."/>
      <w:lvlJc w:val="right"/>
      <w:pPr>
        <w:tabs>
          <w:tab w:val="num" w:pos="777"/>
        </w:tabs>
        <w:ind w:left="363" w:hanging="363"/>
      </w:pPr>
      <w:rPr>
        <w:rFonts w:hint="eastAsia"/>
      </w:rPr>
    </w:lvl>
    <w:lvl w:ilvl="6">
      <w:start w:val="1"/>
      <w:numFmt w:val="decimal"/>
      <w:lvlText w:val="%7."/>
      <w:lvlJc w:val="left"/>
      <w:pPr>
        <w:tabs>
          <w:tab w:val="num" w:pos="777"/>
        </w:tabs>
        <w:ind w:left="363" w:hanging="363"/>
      </w:pPr>
      <w:rPr>
        <w:rFonts w:hint="eastAsia"/>
      </w:rPr>
    </w:lvl>
    <w:lvl w:ilvl="7">
      <w:start w:val="1"/>
      <w:numFmt w:val="lowerLetter"/>
      <w:lvlText w:val="%8)"/>
      <w:lvlJc w:val="left"/>
      <w:pPr>
        <w:tabs>
          <w:tab w:val="num" w:pos="777"/>
        </w:tabs>
        <w:ind w:left="363" w:hanging="363"/>
      </w:pPr>
      <w:rPr>
        <w:rFonts w:hint="eastAsia"/>
      </w:rPr>
    </w:lvl>
    <w:lvl w:ilvl="8">
      <w:start w:val="1"/>
      <w:numFmt w:val="lowerRoman"/>
      <w:lvlText w:val="%9."/>
      <w:lvlJc w:val="right"/>
      <w:pPr>
        <w:tabs>
          <w:tab w:val="num" w:pos="777"/>
        </w:tabs>
        <w:ind w:left="363" w:hanging="363"/>
      </w:pPr>
      <w:rPr>
        <w:rFonts w:hint="eastAsia"/>
      </w:rPr>
    </w:lvl>
  </w:abstractNum>
  <w:abstractNum w:abstractNumId="30" w15:restartNumberingAfterBreak="0">
    <w:nsid w:val="74650E9A"/>
    <w:multiLevelType w:val="hybridMultilevel"/>
    <w:tmpl w:val="DE12D308"/>
    <w:lvl w:ilvl="0" w:tplc="04090019">
      <w:start w:val="1"/>
      <w:numFmt w:val="lowerLetter"/>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31" w15:restartNumberingAfterBreak="0">
    <w:nsid w:val="75CB4355"/>
    <w:multiLevelType w:val="multilevel"/>
    <w:tmpl w:val="75CB4355"/>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2" w15:restartNumberingAfterBreak="0">
    <w:nsid w:val="76904F4F"/>
    <w:multiLevelType w:val="hybridMultilevel"/>
    <w:tmpl w:val="FC444F76"/>
    <w:lvl w:ilvl="0" w:tplc="9E8AB7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7107214"/>
    <w:multiLevelType w:val="multilevel"/>
    <w:tmpl w:val="2766C7BC"/>
    <w:lvl w:ilvl="0">
      <w:start w:val="5"/>
      <w:numFmt w:val="decimal"/>
      <w:lvlText w:val="6.%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4" w15:restartNumberingAfterBreak="0">
    <w:nsid w:val="79230FB1"/>
    <w:multiLevelType w:val="hybridMultilevel"/>
    <w:tmpl w:val="FDF0A97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A457382"/>
    <w:multiLevelType w:val="multilevel"/>
    <w:tmpl w:val="27D47338"/>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A795154"/>
    <w:multiLevelType w:val="hybridMultilevel"/>
    <w:tmpl w:val="DDD27600"/>
    <w:lvl w:ilvl="0" w:tplc="FD320BA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DC134F0"/>
    <w:multiLevelType w:val="hybridMultilevel"/>
    <w:tmpl w:val="DE12D308"/>
    <w:lvl w:ilvl="0" w:tplc="04090019">
      <w:start w:val="1"/>
      <w:numFmt w:val="lowerLetter"/>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38" w15:restartNumberingAfterBreak="0">
    <w:nsid w:val="7DD63C1F"/>
    <w:multiLevelType w:val="multilevel"/>
    <w:tmpl w:val="7DD63C1F"/>
    <w:lvl w:ilvl="0">
      <w:start w:val="1"/>
      <w:numFmt w:val="decimal"/>
      <w:pStyle w:val="a1"/>
      <w:lvlText w:val="7.%1"/>
      <w:lvlJc w:val="left"/>
      <w:pPr>
        <w:ind w:left="420" w:hanging="420"/>
      </w:pPr>
      <w:rPr>
        <w:rFonts w:hint="eastAsia"/>
      </w:rPr>
    </w:lvl>
    <w:lvl w:ilvl="1">
      <w:start w:val="1"/>
      <w:numFmt w:val="lowerLetter"/>
      <w:pStyle w:val="a2"/>
      <w:lvlText w:val="%2)"/>
      <w:lvlJc w:val="left"/>
      <w:pPr>
        <w:ind w:left="840" w:hanging="420"/>
      </w:pPr>
    </w:lvl>
    <w:lvl w:ilvl="2">
      <w:start w:val="1"/>
      <w:numFmt w:val="lowerRoman"/>
      <w:pStyle w:val="a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7E0D03ED"/>
    <w:multiLevelType w:val="multilevel"/>
    <w:tmpl w:val="7E0D03ED"/>
    <w:lvl w:ilvl="0">
      <w:start w:val="1"/>
      <w:numFmt w:val="lowerLetter"/>
      <w:lvlText w:val="%1)"/>
      <w:lvlJc w:val="left"/>
      <w:pPr>
        <w:ind w:left="840" w:hanging="420"/>
      </w:pPr>
      <w:rPr>
        <w:rFonts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0" w15:restartNumberingAfterBreak="0">
    <w:nsid w:val="7EF83F24"/>
    <w:multiLevelType w:val="hybridMultilevel"/>
    <w:tmpl w:val="C6B21706"/>
    <w:lvl w:ilvl="0" w:tplc="5642997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5"/>
  </w:num>
  <w:num w:numId="3">
    <w:abstractNumId w:val="0"/>
  </w:num>
  <w:num w:numId="4">
    <w:abstractNumId w:val="38"/>
  </w:num>
  <w:num w:numId="5">
    <w:abstractNumId w:val="21"/>
  </w:num>
  <w:num w:numId="6">
    <w:abstractNumId w:val="35"/>
  </w:num>
  <w:num w:numId="7">
    <w:abstractNumId w:val="16"/>
  </w:num>
  <w:num w:numId="8">
    <w:abstractNumId w:val="25"/>
  </w:num>
  <w:num w:numId="9">
    <w:abstractNumId w:val="24"/>
  </w:num>
  <w:num w:numId="10">
    <w:abstractNumId w:val="32"/>
  </w:num>
  <w:num w:numId="11">
    <w:abstractNumId w:val="2"/>
  </w:num>
  <w:num w:numId="12">
    <w:abstractNumId w:val="26"/>
  </w:num>
  <w:num w:numId="13">
    <w:abstractNumId w:val="22"/>
  </w:num>
  <w:num w:numId="14">
    <w:abstractNumId w:val="40"/>
  </w:num>
  <w:num w:numId="15">
    <w:abstractNumId w:val="3"/>
  </w:num>
  <w:num w:numId="16">
    <w:abstractNumId w:val="18"/>
  </w:num>
  <w:num w:numId="17">
    <w:abstractNumId w:val="36"/>
  </w:num>
  <w:num w:numId="18">
    <w:abstractNumId w:val="9"/>
  </w:num>
  <w:num w:numId="19">
    <w:abstractNumId w:val="7"/>
  </w:num>
  <w:num w:numId="20">
    <w:abstractNumId w:val="30"/>
  </w:num>
  <w:num w:numId="21">
    <w:abstractNumId w:val="1"/>
  </w:num>
  <w:num w:numId="22">
    <w:abstractNumId w:val="13"/>
  </w:num>
  <w:num w:numId="23">
    <w:abstractNumId w:val="15"/>
  </w:num>
  <w:num w:numId="24">
    <w:abstractNumId w:val="6"/>
  </w:num>
  <w:num w:numId="25">
    <w:abstractNumId w:val="28"/>
  </w:num>
  <w:num w:numId="26">
    <w:abstractNumId w:val="8"/>
  </w:num>
  <w:num w:numId="27">
    <w:abstractNumId w:val="38"/>
  </w:num>
  <w:num w:numId="28">
    <w:abstractNumId w:val="29"/>
  </w:num>
  <w:num w:numId="29">
    <w:abstractNumId w:val="4"/>
  </w:num>
  <w:num w:numId="30">
    <w:abstractNumId w:val="27"/>
  </w:num>
  <w:num w:numId="31">
    <w:abstractNumId w:val="39"/>
  </w:num>
  <w:num w:numId="32">
    <w:abstractNumId w:val="31"/>
  </w:num>
  <w:num w:numId="33">
    <w:abstractNumId w:val="19"/>
  </w:num>
  <w:num w:numId="34">
    <w:abstractNumId w:val="14"/>
  </w:num>
  <w:num w:numId="35">
    <w:abstractNumId w:val="34"/>
  </w:num>
  <w:num w:numId="36">
    <w:abstractNumId w:val="12"/>
  </w:num>
  <w:num w:numId="37">
    <w:abstractNumId w:val="38"/>
  </w:num>
  <w:num w:numId="38">
    <w:abstractNumId w:val="23"/>
  </w:num>
  <w:num w:numId="39">
    <w:abstractNumId w:val="10"/>
  </w:num>
  <w:num w:numId="40">
    <w:abstractNumId w:val="17"/>
  </w:num>
  <w:num w:numId="41">
    <w:abstractNumId w:val="20"/>
  </w:num>
  <w:num w:numId="42">
    <w:abstractNumId w:val="33"/>
  </w:num>
  <w:num w:numId="43">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8F0"/>
    <w:rsid w:val="000018B0"/>
    <w:rsid w:val="00004ACC"/>
    <w:rsid w:val="00005ACC"/>
    <w:rsid w:val="000131FC"/>
    <w:rsid w:val="000132E9"/>
    <w:rsid w:val="0001364E"/>
    <w:rsid w:val="00016671"/>
    <w:rsid w:val="00021231"/>
    <w:rsid w:val="000259CE"/>
    <w:rsid w:val="00032019"/>
    <w:rsid w:val="0003388F"/>
    <w:rsid w:val="00042744"/>
    <w:rsid w:val="000436BF"/>
    <w:rsid w:val="00045A84"/>
    <w:rsid w:val="00045E73"/>
    <w:rsid w:val="000515F1"/>
    <w:rsid w:val="000524A2"/>
    <w:rsid w:val="0005368B"/>
    <w:rsid w:val="00056197"/>
    <w:rsid w:val="000569B4"/>
    <w:rsid w:val="00057567"/>
    <w:rsid w:val="00060FF6"/>
    <w:rsid w:val="0006181F"/>
    <w:rsid w:val="0006559E"/>
    <w:rsid w:val="00067673"/>
    <w:rsid w:val="00071480"/>
    <w:rsid w:val="00082530"/>
    <w:rsid w:val="00085B58"/>
    <w:rsid w:val="00087583"/>
    <w:rsid w:val="000910AD"/>
    <w:rsid w:val="00092B07"/>
    <w:rsid w:val="00093F43"/>
    <w:rsid w:val="000955B8"/>
    <w:rsid w:val="000964EF"/>
    <w:rsid w:val="000A0D0A"/>
    <w:rsid w:val="000A137B"/>
    <w:rsid w:val="000A2041"/>
    <w:rsid w:val="000A2709"/>
    <w:rsid w:val="000A3681"/>
    <w:rsid w:val="000A697F"/>
    <w:rsid w:val="000A7620"/>
    <w:rsid w:val="000A785B"/>
    <w:rsid w:val="000A7912"/>
    <w:rsid w:val="000B03A3"/>
    <w:rsid w:val="000B176D"/>
    <w:rsid w:val="000B407E"/>
    <w:rsid w:val="000B6052"/>
    <w:rsid w:val="000B71A0"/>
    <w:rsid w:val="000B7657"/>
    <w:rsid w:val="000B7CD9"/>
    <w:rsid w:val="000C0269"/>
    <w:rsid w:val="000C05D1"/>
    <w:rsid w:val="000C2E8D"/>
    <w:rsid w:val="000C5870"/>
    <w:rsid w:val="000D0571"/>
    <w:rsid w:val="000D09F0"/>
    <w:rsid w:val="000D12E9"/>
    <w:rsid w:val="000E0D2A"/>
    <w:rsid w:val="000E3922"/>
    <w:rsid w:val="000E6DB9"/>
    <w:rsid w:val="000E73CC"/>
    <w:rsid w:val="000F1723"/>
    <w:rsid w:val="000F288C"/>
    <w:rsid w:val="000F3BAA"/>
    <w:rsid w:val="000F551C"/>
    <w:rsid w:val="00100424"/>
    <w:rsid w:val="00103828"/>
    <w:rsid w:val="00106616"/>
    <w:rsid w:val="001123BC"/>
    <w:rsid w:val="001132EB"/>
    <w:rsid w:val="0011442A"/>
    <w:rsid w:val="001158A8"/>
    <w:rsid w:val="001205B6"/>
    <w:rsid w:val="00121959"/>
    <w:rsid w:val="00133E35"/>
    <w:rsid w:val="00143C48"/>
    <w:rsid w:val="00160451"/>
    <w:rsid w:val="00161263"/>
    <w:rsid w:val="0016750F"/>
    <w:rsid w:val="00171FCA"/>
    <w:rsid w:val="00172CE0"/>
    <w:rsid w:val="001744AD"/>
    <w:rsid w:val="00174D6E"/>
    <w:rsid w:val="0017601F"/>
    <w:rsid w:val="00176E04"/>
    <w:rsid w:val="001776B3"/>
    <w:rsid w:val="00180496"/>
    <w:rsid w:val="00181672"/>
    <w:rsid w:val="00184100"/>
    <w:rsid w:val="00185B7B"/>
    <w:rsid w:val="001867AB"/>
    <w:rsid w:val="00194DF7"/>
    <w:rsid w:val="001A0761"/>
    <w:rsid w:val="001B0290"/>
    <w:rsid w:val="001B6840"/>
    <w:rsid w:val="001B774A"/>
    <w:rsid w:val="001C2441"/>
    <w:rsid w:val="001C4939"/>
    <w:rsid w:val="001C67FB"/>
    <w:rsid w:val="001D0AB7"/>
    <w:rsid w:val="001D409E"/>
    <w:rsid w:val="001E01B6"/>
    <w:rsid w:val="001E6F22"/>
    <w:rsid w:val="001F1FB7"/>
    <w:rsid w:val="001F640A"/>
    <w:rsid w:val="00205610"/>
    <w:rsid w:val="00213D74"/>
    <w:rsid w:val="00215EA6"/>
    <w:rsid w:val="0021646B"/>
    <w:rsid w:val="0022124A"/>
    <w:rsid w:val="0022167F"/>
    <w:rsid w:val="00223629"/>
    <w:rsid w:val="00224E03"/>
    <w:rsid w:val="00234D09"/>
    <w:rsid w:val="0023776B"/>
    <w:rsid w:val="002403E4"/>
    <w:rsid w:val="002440C8"/>
    <w:rsid w:val="00245517"/>
    <w:rsid w:val="00253260"/>
    <w:rsid w:val="00253C4B"/>
    <w:rsid w:val="00256045"/>
    <w:rsid w:val="00257278"/>
    <w:rsid w:val="00260AB8"/>
    <w:rsid w:val="00261566"/>
    <w:rsid w:val="002641AB"/>
    <w:rsid w:val="002676A2"/>
    <w:rsid w:val="00267874"/>
    <w:rsid w:val="00275413"/>
    <w:rsid w:val="002779BC"/>
    <w:rsid w:val="0028150B"/>
    <w:rsid w:val="00291992"/>
    <w:rsid w:val="002925A5"/>
    <w:rsid w:val="00294B8C"/>
    <w:rsid w:val="002A3F5C"/>
    <w:rsid w:val="002B09D6"/>
    <w:rsid w:val="002B782F"/>
    <w:rsid w:val="002C4E49"/>
    <w:rsid w:val="002C6886"/>
    <w:rsid w:val="002D1027"/>
    <w:rsid w:val="002D20CA"/>
    <w:rsid w:val="002D6D89"/>
    <w:rsid w:val="002D787A"/>
    <w:rsid w:val="002D79C9"/>
    <w:rsid w:val="002E07D9"/>
    <w:rsid w:val="002E17FE"/>
    <w:rsid w:val="002E42E1"/>
    <w:rsid w:val="002E55F6"/>
    <w:rsid w:val="002E6D2F"/>
    <w:rsid w:val="002F0180"/>
    <w:rsid w:val="002F2B19"/>
    <w:rsid w:val="002F3300"/>
    <w:rsid w:val="002F34BE"/>
    <w:rsid w:val="003013BE"/>
    <w:rsid w:val="003017C5"/>
    <w:rsid w:val="00302BE2"/>
    <w:rsid w:val="00310941"/>
    <w:rsid w:val="00312C1E"/>
    <w:rsid w:val="00314CD3"/>
    <w:rsid w:val="0032324A"/>
    <w:rsid w:val="00325786"/>
    <w:rsid w:val="003326C9"/>
    <w:rsid w:val="003377C2"/>
    <w:rsid w:val="00340E55"/>
    <w:rsid w:val="00343617"/>
    <w:rsid w:val="003473CC"/>
    <w:rsid w:val="00347CD0"/>
    <w:rsid w:val="00350C45"/>
    <w:rsid w:val="00357D3D"/>
    <w:rsid w:val="00361984"/>
    <w:rsid w:val="003638A7"/>
    <w:rsid w:val="00364228"/>
    <w:rsid w:val="003738DC"/>
    <w:rsid w:val="00375B6B"/>
    <w:rsid w:val="00376410"/>
    <w:rsid w:val="00380C9F"/>
    <w:rsid w:val="00383B70"/>
    <w:rsid w:val="00386005"/>
    <w:rsid w:val="0039046C"/>
    <w:rsid w:val="00390A3C"/>
    <w:rsid w:val="003A13EA"/>
    <w:rsid w:val="003A2C51"/>
    <w:rsid w:val="003A2D9B"/>
    <w:rsid w:val="003B15BB"/>
    <w:rsid w:val="003B3104"/>
    <w:rsid w:val="003B5032"/>
    <w:rsid w:val="003B6D04"/>
    <w:rsid w:val="003C113D"/>
    <w:rsid w:val="003D0075"/>
    <w:rsid w:val="003D246D"/>
    <w:rsid w:val="003E15E9"/>
    <w:rsid w:val="003E2F9E"/>
    <w:rsid w:val="003E5FF2"/>
    <w:rsid w:val="003F349B"/>
    <w:rsid w:val="003F3C60"/>
    <w:rsid w:val="003F3F63"/>
    <w:rsid w:val="003F6331"/>
    <w:rsid w:val="00401278"/>
    <w:rsid w:val="004017F9"/>
    <w:rsid w:val="0040272D"/>
    <w:rsid w:val="00404825"/>
    <w:rsid w:val="0040666E"/>
    <w:rsid w:val="004103BD"/>
    <w:rsid w:val="0042042D"/>
    <w:rsid w:val="0042460A"/>
    <w:rsid w:val="00424A9E"/>
    <w:rsid w:val="00431899"/>
    <w:rsid w:val="004335D4"/>
    <w:rsid w:val="00436CBA"/>
    <w:rsid w:val="004441D1"/>
    <w:rsid w:val="00451473"/>
    <w:rsid w:val="00453AFE"/>
    <w:rsid w:val="00462D6C"/>
    <w:rsid w:val="00466030"/>
    <w:rsid w:val="00470ED9"/>
    <w:rsid w:val="004772AB"/>
    <w:rsid w:val="00483323"/>
    <w:rsid w:val="00484D10"/>
    <w:rsid w:val="0048696E"/>
    <w:rsid w:val="00493565"/>
    <w:rsid w:val="0049540E"/>
    <w:rsid w:val="004A11A8"/>
    <w:rsid w:val="004A5587"/>
    <w:rsid w:val="004A5FB8"/>
    <w:rsid w:val="004B0C6D"/>
    <w:rsid w:val="004B1BAC"/>
    <w:rsid w:val="004C15E9"/>
    <w:rsid w:val="004C2817"/>
    <w:rsid w:val="004C43E6"/>
    <w:rsid w:val="004D621F"/>
    <w:rsid w:val="004E157F"/>
    <w:rsid w:val="004E2D3D"/>
    <w:rsid w:val="004E7C16"/>
    <w:rsid w:val="004F0331"/>
    <w:rsid w:val="004F0EE4"/>
    <w:rsid w:val="004F2D3A"/>
    <w:rsid w:val="004F2F41"/>
    <w:rsid w:val="005008EF"/>
    <w:rsid w:val="00503F4E"/>
    <w:rsid w:val="00504381"/>
    <w:rsid w:val="00504921"/>
    <w:rsid w:val="00511B86"/>
    <w:rsid w:val="005137D1"/>
    <w:rsid w:val="00520BE9"/>
    <w:rsid w:val="00530526"/>
    <w:rsid w:val="00533D0C"/>
    <w:rsid w:val="00536FE6"/>
    <w:rsid w:val="00550BC0"/>
    <w:rsid w:val="00552C58"/>
    <w:rsid w:val="005713A8"/>
    <w:rsid w:val="00581A5F"/>
    <w:rsid w:val="0058697A"/>
    <w:rsid w:val="00592B26"/>
    <w:rsid w:val="00593DE8"/>
    <w:rsid w:val="00595CED"/>
    <w:rsid w:val="005A0BD6"/>
    <w:rsid w:val="005A0EFD"/>
    <w:rsid w:val="005A27E8"/>
    <w:rsid w:val="005A6234"/>
    <w:rsid w:val="005A78D4"/>
    <w:rsid w:val="005B1FA5"/>
    <w:rsid w:val="005B2113"/>
    <w:rsid w:val="005B47D4"/>
    <w:rsid w:val="005C2C23"/>
    <w:rsid w:val="005C33BD"/>
    <w:rsid w:val="005C44CF"/>
    <w:rsid w:val="005D511D"/>
    <w:rsid w:val="005E0A2E"/>
    <w:rsid w:val="005E52F5"/>
    <w:rsid w:val="005E6E87"/>
    <w:rsid w:val="005E7B73"/>
    <w:rsid w:val="005F6DB0"/>
    <w:rsid w:val="00600A0D"/>
    <w:rsid w:val="006016DA"/>
    <w:rsid w:val="00606A5E"/>
    <w:rsid w:val="0060710B"/>
    <w:rsid w:val="006176CB"/>
    <w:rsid w:val="006201FB"/>
    <w:rsid w:val="00621282"/>
    <w:rsid w:val="006265D4"/>
    <w:rsid w:val="00630B96"/>
    <w:rsid w:val="00630E8A"/>
    <w:rsid w:val="006313FC"/>
    <w:rsid w:val="00631AE9"/>
    <w:rsid w:val="0063403F"/>
    <w:rsid w:val="006412CC"/>
    <w:rsid w:val="0064133D"/>
    <w:rsid w:val="0064186F"/>
    <w:rsid w:val="00653578"/>
    <w:rsid w:val="006612B1"/>
    <w:rsid w:val="00661CBD"/>
    <w:rsid w:val="00662216"/>
    <w:rsid w:val="00664EF1"/>
    <w:rsid w:val="00665CE0"/>
    <w:rsid w:val="00666975"/>
    <w:rsid w:val="00666B7C"/>
    <w:rsid w:val="006708B1"/>
    <w:rsid w:val="00677A91"/>
    <w:rsid w:val="00684B3A"/>
    <w:rsid w:val="0068586D"/>
    <w:rsid w:val="006864EE"/>
    <w:rsid w:val="00694A8A"/>
    <w:rsid w:val="00695B95"/>
    <w:rsid w:val="00697697"/>
    <w:rsid w:val="006A0F21"/>
    <w:rsid w:val="006B1004"/>
    <w:rsid w:val="006C15AE"/>
    <w:rsid w:val="006D48E8"/>
    <w:rsid w:val="006D6E3F"/>
    <w:rsid w:val="006E4618"/>
    <w:rsid w:val="006F1A76"/>
    <w:rsid w:val="006F4C88"/>
    <w:rsid w:val="00703EF6"/>
    <w:rsid w:val="00710546"/>
    <w:rsid w:val="007218D3"/>
    <w:rsid w:val="0072422F"/>
    <w:rsid w:val="00735A5C"/>
    <w:rsid w:val="00742BA7"/>
    <w:rsid w:val="00746871"/>
    <w:rsid w:val="0075385C"/>
    <w:rsid w:val="00753948"/>
    <w:rsid w:val="00755FA1"/>
    <w:rsid w:val="00762C1F"/>
    <w:rsid w:val="00764C56"/>
    <w:rsid w:val="007668F0"/>
    <w:rsid w:val="007674BE"/>
    <w:rsid w:val="00770079"/>
    <w:rsid w:val="00770985"/>
    <w:rsid w:val="007761E3"/>
    <w:rsid w:val="00776860"/>
    <w:rsid w:val="00782D60"/>
    <w:rsid w:val="00783AA5"/>
    <w:rsid w:val="00786947"/>
    <w:rsid w:val="00795D3E"/>
    <w:rsid w:val="007A55BC"/>
    <w:rsid w:val="007A7188"/>
    <w:rsid w:val="007B016B"/>
    <w:rsid w:val="007B01C3"/>
    <w:rsid w:val="007B05D3"/>
    <w:rsid w:val="007B1B10"/>
    <w:rsid w:val="007B4AA2"/>
    <w:rsid w:val="007B5083"/>
    <w:rsid w:val="007D3FA5"/>
    <w:rsid w:val="007D4170"/>
    <w:rsid w:val="007D51E1"/>
    <w:rsid w:val="007D694B"/>
    <w:rsid w:val="007D7667"/>
    <w:rsid w:val="007F0F1F"/>
    <w:rsid w:val="007F236C"/>
    <w:rsid w:val="00800D3A"/>
    <w:rsid w:val="00803E8A"/>
    <w:rsid w:val="00817389"/>
    <w:rsid w:val="008176EA"/>
    <w:rsid w:val="00822B47"/>
    <w:rsid w:val="008260C7"/>
    <w:rsid w:val="00826F4B"/>
    <w:rsid w:val="0083023C"/>
    <w:rsid w:val="008307A7"/>
    <w:rsid w:val="00830F3F"/>
    <w:rsid w:val="00835102"/>
    <w:rsid w:val="0083532A"/>
    <w:rsid w:val="00836348"/>
    <w:rsid w:val="00836DAB"/>
    <w:rsid w:val="00836EB1"/>
    <w:rsid w:val="0084283E"/>
    <w:rsid w:val="00843B4D"/>
    <w:rsid w:val="00844C9C"/>
    <w:rsid w:val="008453E0"/>
    <w:rsid w:val="00845FD0"/>
    <w:rsid w:val="008532AE"/>
    <w:rsid w:val="00857C5A"/>
    <w:rsid w:val="008606D4"/>
    <w:rsid w:val="00860C7C"/>
    <w:rsid w:val="0086359C"/>
    <w:rsid w:val="00870ACB"/>
    <w:rsid w:val="00873ABC"/>
    <w:rsid w:val="008873DB"/>
    <w:rsid w:val="00887CBE"/>
    <w:rsid w:val="008965F5"/>
    <w:rsid w:val="008A02C4"/>
    <w:rsid w:val="008A440C"/>
    <w:rsid w:val="008B2B62"/>
    <w:rsid w:val="008B4440"/>
    <w:rsid w:val="008B4AEC"/>
    <w:rsid w:val="008B5954"/>
    <w:rsid w:val="008B65DD"/>
    <w:rsid w:val="008B6C1C"/>
    <w:rsid w:val="008B7E14"/>
    <w:rsid w:val="008C3628"/>
    <w:rsid w:val="008C795B"/>
    <w:rsid w:val="008E14A3"/>
    <w:rsid w:val="008E5A55"/>
    <w:rsid w:val="008E791E"/>
    <w:rsid w:val="008F5791"/>
    <w:rsid w:val="009008C1"/>
    <w:rsid w:val="00901012"/>
    <w:rsid w:val="0090343F"/>
    <w:rsid w:val="009107A1"/>
    <w:rsid w:val="00921238"/>
    <w:rsid w:val="00923459"/>
    <w:rsid w:val="009257B1"/>
    <w:rsid w:val="00932887"/>
    <w:rsid w:val="0093322C"/>
    <w:rsid w:val="00935008"/>
    <w:rsid w:val="0094098D"/>
    <w:rsid w:val="00940ED2"/>
    <w:rsid w:val="00946395"/>
    <w:rsid w:val="0094738D"/>
    <w:rsid w:val="0094757D"/>
    <w:rsid w:val="0095172B"/>
    <w:rsid w:val="00951B0D"/>
    <w:rsid w:val="00953696"/>
    <w:rsid w:val="009547BC"/>
    <w:rsid w:val="009572EC"/>
    <w:rsid w:val="009618F1"/>
    <w:rsid w:val="00962A45"/>
    <w:rsid w:val="00965EE1"/>
    <w:rsid w:val="00972296"/>
    <w:rsid w:val="009773BD"/>
    <w:rsid w:val="0097785B"/>
    <w:rsid w:val="00990F46"/>
    <w:rsid w:val="0099187D"/>
    <w:rsid w:val="0099396C"/>
    <w:rsid w:val="00997043"/>
    <w:rsid w:val="009974E4"/>
    <w:rsid w:val="009A3AD1"/>
    <w:rsid w:val="009C3BE1"/>
    <w:rsid w:val="009C5B70"/>
    <w:rsid w:val="009C64DE"/>
    <w:rsid w:val="009D0C06"/>
    <w:rsid w:val="009E3E7C"/>
    <w:rsid w:val="009E49DE"/>
    <w:rsid w:val="009E4FF8"/>
    <w:rsid w:val="009F4032"/>
    <w:rsid w:val="009F5688"/>
    <w:rsid w:val="009F7111"/>
    <w:rsid w:val="00A03C7B"/>
    <w:rsid w:val="00A10A9B"/>
    <w:rsid w:val="00A11B2F"/>
    <w:rsid w:val="00A167B7"/>
    <w:rsid w:val="00A175F7"/>
    <w:rsid w:val="00A228A9"/>
    <w:rsid w:val="00A22C74"/>
    <w:rsid w:val="00A30A07"/>
    <w:rsid w:val="00A31401"/>
    <w:rsid w:val="00A334E4"/>
    <w:rsid w:val="00A3655D"/>
    <w:rsid w:val="00A36C57"/>
    <w:rsid w:val="00A3772D"/>
    <w:rsid w:val="00A438C3"/>
    <w:rsid w:val="00A52522"/>
    <w:rsid w:val="00A55682"/>
    <w:rsid w:val="00A62E2E"/>
    <w:rsid w:val="00A65D6B"/>
    <w:rsid w:val="00A67300"/>
    <w:rsid w:val="00A71022"/>
    <w:rsid w:val="00A71E50"/>
    <w:rsid w:val="00A73167"/>
    <w:rsid w:val="00A74B88"/>
    <w:rsid w:val="00A77CD5"/>
    <w:rsid w:val="00A8510C"/>
    <w:rsid w:val="00A865E5"/>
    <w:rsid w:val="00A97406"/>
    <w:rsid w:val="00AA4BFA"/>
    <w:rsid w:val="00AB197E"/>
    <w:rsid w:val="00AB2AAB"/>
    <w:rsid w:val="00AB440C"/>
    <w:rsid w:val="00AC3D1A"/>
    <w:rsid w:val="00AD072D"/>
    <w:rsid w:val="00AD10F1"/>
    <w:rsid w:val="00AD4187"/>
    <w:rsid w:val="00AD5D2E"/>
    <w:rsid w:val="00AE094A"/>
    <w:rsid w:val="00AE200D"/>
    <w:rsid w:val="00AE3F01"/>
    <w:rsid w:val="00AE56ED"/>
    <w:rsid w:val="00AE785B"/>
    <w:rsid w:val="00AF3512"/>
    <w:rsid w:val="00AF5C15"/>
    <w:rsid w:val="00B012C4"/>
    <w:rsid w:val="00B01545"/>
    <w:rsid w:val="00B0463D"/>
    <w:rsid w:val="00B1293A"/>
    <w:rsid w:val="00B12BB9"/>
    <w:rsid w:val="00B16996"/>
    <w:rsid w:val="00B218D5"/>
    <w:rsid w:val="00B247B1"/>
    <w:rsid w:val="00B25A3E"/>
    <w:rsid w:val="00B25B80"/>
    <w:rsid w:val="00B311BB"/>
    <w:rsid w:val="00B32DCA"/>
    <w:rsid w:val="00B34D8E"/>
    <w:rsid w:val="00B3623B"/>
    <w:rsid w:val="00B37FD1"/>
    <w:rsid w:val="00B40BF7"/>
    <w:rsid w:val="00B41BBE"/>
    <w:rsid w:val="00B42701"/>
    <w:rsid w:val="00B438EC"/>
    <w:rsid w:val="00B51D42"/>
    <w:rsid w:val="00B525A0"/>
    <w:rsid w:val="00B55321"/>
    <w:rsid w:val="00B62B70"/>
    <w:rsid w:val="00B73153"/>
    <w:rsid w:val="00B8292E"/>
    <w:rsid w:val="00B82DE7"/>
    <w:rsid w:val="00B84E19"/>
    <w:rsid w:val="00B862F3"/>
    <w:rsid w:val="00B901E0"/>
    <w:rsid w:val="00B92654"/>
    <w:rsid w:val="00B94042"/>
    <w:rsid w:val="00BA0470"/>
    <w:rsid w:val="00BC10D9"/>
    <w:rsid w:val="00BC2622"/>
    <w:rsid w:val="00BC5049"/>
    <w:rsid w:val="00BC5D9A"/>
    <w:rsid w:val="00BC7183"/>
    <w:rsid w:val="00BD4DBB"/>
    <w:rsid w:val="00BD6571"/>
    <w:rsid w:val="00BD65F4"/>
    <w:rsid w:val="00BD7423"/>
    <w:rsid w:val="00BD7EC7"/>
    <w:rsid w:val="00C01392"/>
    <w:rsid w:val="00C02C39"/>
    <w:rsid w:val="00C050CE"/>
    <w:rsid w:val="00C12870"/>
    <w:rsid w:val="00C16028"/>
    <w:rsid w:val="00C16244"/>
    <w:rsid w:val="00C21F19"/>
    <w:rsid w:val="00C22FA8"/>
    <w:rsid w:val="00C23C4D"/>
    <w:rsid w:val="00C27EBA"/>
    <w:rsid w:val="00C31044"/>
    <w:rsid w:val="00C400E0"/>
    <w:rsid w:val="00C4358D"/>
    <w:rsid w:val="00C44072"/>
    <w:rsid w:val="00C441C6"/>
    <w:rsid w:val="00C44CF2"/>
    <w:rsid w:val="00C45907"/>
    <w:rsid w:val="00C5289D"/>
    <w:rsid w:val="00C53859"/>
    <w:rsid w:val="00C57DA2"/>
    <w:rsid w:val="00C60562"/>
    <w:rsid w:val="00C6221D"/>
    <w:rsid w:val="00C62758"/>
    <w:rsid w:val="00C67A90"/>
    <w:rsid w:val="00C67DC8"/>
    <w:rsid w:val="00C72D7A"/>
    <w:rsid w:val="00C7357A"/>
    <w:rsid w:val="00C74A15"/>
    <w:rsid w:val="00C74BE5"/>
    <w:rsid w:val="00C75FAA"/>
    <w:rsid w:val="00C818A5"/>
    <w:rsid w:val="00C81B0F"/>
    <w:rsid w:val="00C8532E"/>
    <w:rsid w:val="00C85776"/>
    <w:rsid w:val="00C85AA2"/>
    <w:rsid w:val="00C87EB0"/>
    <w:rsid w:val="00C90E91"/>
    <w:rsid w:val="00C93BA4"/>
    <w:rsid w:val="00CA0052"/>
    <w:rsid w:val="00CA2232"/>
    <w:rsid w:val="00CA79FF"/>
    <w:rsid w:val="00CB0649"/>
    <w:rsid w:val="00CB60E3"/>
    <w:rsid w:val="00CB6F89"/>
    <w:rsid w:val="00CC19CD"/>
    <w:rsid w:val="00CC27E4"/>
    <w:rsid w:val="00CC4819"/>
    <w:rsid w:val="00CC727C"/>
    <w:rsid w:val="00CD6F30"/>
    <w:rsid w:val="00CF3831"/>
    <w:rsid w:val="00CF3D96"/>
    <w:rsid w:val="00CF6C6F"/>
    <w:rsid w:val="00CF77A1"/>
    <w:rsid w:val="00D02BDF"/>
    <w:rsid w:val="00D15750"/>
    <w:rsid w:val="00D15BA5"/>
    <w:rsid w:val="00D258F8"/>
    <w:rsid w:val="00D301CE"/>
    <w:rsid w:val="00D34E84"/>
    <w:rsid w:val="00D36647"/>
    <w:rsid w:val="00D37246"/>
    <w:rsid w:val="00D3739F"/>
    <w:rsid w:val="00D441A5"/>
    <w:rsid w:val="00D4787F"/>
    <w:rsid w:val="00D5292B"/>
    <w:rsid w:val="00D535FB"/>
    <w:rsid w:val="00D57E2C"/>
    <w:rsid w:val="00D6575E"/>
    <w:rsid w:val="00D72695"/>
    <w:rsid w:val="00D77731"/>
    <w:rsid w:val="00D8242C"/>
    <w:rsid w:val="00D857DD"/>
    <w:rsid w:val="00DA269C"/>
    <w:rsid w:val="00DB738E"/>
    <w:rsid w:val="00DC0A89"/>
    <w:rsid w:val="00DD36AB"/>
    <w:rsid w:val="00DD494E"/>
    <w:rsid w:val="00DD7EAA"/>
    <w:rsid w:val="00E01109"/>
    <w:rsid w:val="00E03350"/>
    <w:rsid w:val="00E03CF6"/>
    <w:rsid w:val="00E050A6"/>
    <w:rsid w:val="00E053F9"/>
    <w:rsid w:val="00E07642"/>
    <w:rsid w:val="00E10E0B"/>
    <w:rsid w:val="00E148D4"/>
    <w:rsid w:val="00E169B0"/>
    <w:rsid w:val="00E214D5"/>
    <w:rsid w:val="00E24BDD"/>
    <w:rsid w:val="00E259AD"/>
    <w:rsid w:val="00E31C45"/>
    <w:rsid w:val="00E322D5"/>
    <w:rsid w:val="00E40858"/>
    <w:rsid w:val="00E4209A"/>
    <w:rsid w:val="00E44D52"/>
    <w:rsid w:val="00E46EB8"/>
    <w:rsid w:val="00E47182"/>
    <w:rsid w:val="00E565AF"/>
    <w:rsid w:val="00E6084C"/>
    <w:rsid w:val="00E700E9"/>
    <w:rsid w:val="00E7203B"/>
    <w:rsid w:val="00E75633"/>
    <w:rsid w:val="00E7651E"/>
    <w:rsid w:val="00E82AAF"/>
    <w:rsid w:val="00E83123"/>
    <w:rsid w:val="00E834EC"/>
    <w:rsid w:val="00E8643C"/>
    <w:rsid w:val="00E868A4"/>
    <w:rsid w:val="00E868DB"/>
    <w:rsid w:val="00E90F74"/>
    <w:rsid w:val="00E921C4"/>
    <w:rsid w:val="00E96EE8"/>
    <w:rsid w:val="00EA17D4"/>
    <w:rsid w:val="00EA33BB"/>
    <w:rsid w:val="00EA43B8"/>
    <w:rsid w:val="00EA5A71"/>
    <w:rsid w:val="00EA70F8"/>
    <w:rsid w:val="00EB2D05"/>
    <w:rsid w:val="00EB5939"/>
    <w:rsid w:val="00EB6166"/>
    <w:rsid w:val="00EB69C8"/>
    <w:rsid w:val="00EB6D50"/>
    <w:rsid w:val="00EC3C46"/>
    <w:rsid w:val="00EC6FFD"/>
    <w:rsid w:val="00ED0B92"/>
    <w:rsid w:val="00ED1AA4"/>
    <w:rsid w:val="00ED1F3D"/>
    <w:rsid w:val="00ED2B6A"/>
    <w:rsid w:val="00EE2EB4"/>
    <w:rsid w:val="00EE514B"/>
    <w:rsid w:val="00EE5396"/>
    <w:rsid w:val="00EE750E"/>
    <w:rsid w:val="00EF0365"/>
    <w:rsid w:val="00EF50E2"/>
    <w:rsid w:val="00EF7719"/>
    <w:rsid w:val="00F06D83"/>
    <w:rsid w:val="00F110E6"/>
    <w:rsid w:val="00F1119F"/>
    <w:rsid w:val="00F12C49"/>
    <w:rsid w:val="00F35738"/>
    <w:rsid w:val="00F43362"/>
    <w:rsid w:val="00F46337"/>
    <w:rsid w:val="00F52F1B"/>
    <w:rsid w:val="00F569D1"/>
    <w:rsid w:val="00F60331"/>
    <w:rsid w:val="00F61370"/>
    <w:rsid w:val="00F62293"/>
    <w:rsid w:val="00F63A75"/>
    <w:rsid w:val="00F71571"/>
    <w:rsid w:val="00F74461"/>
    <w:rsid w:val="00F75596"/>
    <w:rsid w:val="00F77109"/>
    <w:rsid w:val="00F818E1"/>
    <w:rsid w:val="00F84E65"/>
    <w:rsid w:val="00F85C54"/>
    <w:rsid w:val="00F917A6"/>
    <w:rsid w:val="00F91F2E"/>
    <w:rsid w:val="00F93A8D"/>
    <w:rsid w:val="00F971DA"/>
    <w:rsid w:val="00FA15E1"/>
    <w:rsid w:val="00FA22AF"/>
    <w:rsid w:val="00FA3394"/>
    <w:rsid w:val="00FA7233"/>
    <w:rsid w:val="00FB562A"/>
    <w:rsid w:val="00FB6E21"/>
    <w:rsid w:val="00FF1BD3"/>
    <w:rsid w:val="00FF4781"/>
    <w:rsid w:val="00FF4938"/>
    <w:rsid w:val="00FF6045"/>
    <w:rsid w:val="00FF6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13952"/>
  <w15:chartTrackingRefBased/>
  <w15:docId w15:val="{E84070F1-1420-481A-ABD8-162F8BD6B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4">
    <w:name w:val="Normal"/>
    <w:qFormat/>
    <w:rsid w:val="00600A0D"/>
    <w:pPr>
      <w:widowControl w:val="0"/>
      <w:ind w:firstLineChars="200" w:firstLine="200"/>
      <w:jc w:val="both"/>
    </w:pPr>
    <w:rPr>
      <w:rFonts w:ascii="Times New Roman" w:eastAsia="宋体" w:hAnsi="Times New Roman" w:cs="Times New Roman"/>
      <w:szCs w:val="24"/>
    </w:rPr>
  </w:style>
  <w:style w:type="paragraph" w:styleId="1">
    <w:name w:val="heading 1"/>
    <w:basedOn w:val="a4"/>
    <w:next w:val="a4"/>
    <w:link w:val="10"/>
    <w:uiPriority w:val="9"/>
    <w:qFormat/>
    <w:rsid w:val="0099187D"/>
    <w:pPr>
      <w:keepNext/>
      <w:keepLines/>
      <w:spacing w:before="120" w:after="120" w:line="360" w:lineRule="auto"/>
      <w:outlineLvl w:val="0"/>
    </w:pPr>
    <w:rPr>
      <w:bCs/>
      <w:kern w:val="44"/>
      <w:szCs w:val="44"/>
    </w:rPr>
  </w:style>
  <w:style w:type="paragraph" w:styleId="2">
    <w:name w:val="heading 2"/>
    <w:basedOn w:val="a4"/>
    <w:next w:val="a4"/>
    <w:link w:val="20"/>
    <w:uiPriority w:val="9"/>
    <w:unhideWhenUsed/>
    <w:qFormat/>
    <w:rsid w:val="00764C56"/>
    <w:pPr>
      <w:keepNext/>
      <w:keepLines/>
      <w:spacing w:beforeLines="50" w:before="50" w:afterLines="50" w:after="50"/>
      <w:ind w:firstLineChars="0" w:firstLine="0"/>
      <w:outlineLvl w:val="1"/>
    </w:pPr>
    <w:rPr>
      <w:rFonts w:asciiTheme="majorHAnsi" w:eastAsia="黑体" w:hAnsiTheme="majorHAnsi" w:cstheme="majorBidi"/>
      <w:bCs/>
      <w:szCs w:val="32"/>
    </w:rPr>
  </w:style>
  <w:style w:type="paragraph" w:styleId="3">
    <w:name w:val="heading 3"/>
    <w:basedOn w:val="2"/>
    <w:next w:val="a4"/>
    <w:link w:val="30"/>
    <w:uiPriority w:val="9"/>
    <w:unhideWhenUsed/>
    <w:qFormat/>
    <w:rsid w:val="00764C56"/>
    <w:pPr>
      <w:outlineLvl w:val="2"/>
    </w:pPr>
    <w:rPr>
      <w:bCs w:val="0"/>
    </w:rPr>
  </w:style>
  <w:style w:type="paragraph" w:styleId="4">
    <w:name w:val="heading 4"/>
    <w:basedOn w:val="a4"/>
    <w:next w:val="a4"/>
    <w:link w:val="40"/>
    <w:uiPriority w:val="9"/>
    <w:unhideWhenUsed/>
    <w:qFormat/>
    <w:rsid w:val="0083532A"/>
    <w:pPr>
      <w:keepNext/>
      <w:keepLines/>
      <w:spacing w:beforeLines="50" w:before="50" w:afterLines="50" w:after="50"/>
      <w:ind w:firstLineChars="0" w:firstLine="0"/>
      <w:outlineLvl w:val="3"/>
    </w:pPr>
    <w:rPr>
      <w:rFonts w:asciiTheme="majorHAnsi" w:eastAsia="黑体" w:hAnsiTheme="majorHAnsi" w:cstheme="majorBidi"/>
      <w:bCs/>
      <w:szCs w:val="28"/>
    </w:rPr>
  </w:style>
  <w:style w:type="paragraph" w:styleId="5">
    <w:name w:val="heading 5"/>
    <w:basedOn w:val="a4"/>
    <w:next w:val="a4"/>
    <w:link w:val="50"/>
    <w:uiPriority w:val="9"/>
    <w:unhideWhenUsed/>
    <w:qFormat/>
    <w:rsid w:val="002C6886"/>
    <w:pPr>
      <w:keepNext/>
      <w:keepLines/>
      <w:spacing w:before="280" w:after="290"/>
      <w:outlineLvl w:val="4"/>
    </w:pPr>
    <w:rPr>
      <w:bCs/>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sid w:val="007668F0"/>
    <w:rPr>
      <w:color w:val="0000FF"/>
      <w:spacing w:val="0"/>
      <w:w w:val="100"/>
      <w:szCs w:val="21"/>
      <w:u w:val="single"/>
      <w:lang w:val="en-US" w:eastAsia="zh-CN"/>
    </w:rPr>
  </w:style>
  <w:style w:type="character" w:customStyle="1" w:styleId="Char">
    <w:name w:val="段 Char"/>
    <w:link w:val="a9"/>
    <w:qFormat/>
    <w:rsid w:val="007668F0"/>
    <w:rPr>
      <w:rFonts w:ascii="宋体"/>
    </w:rPr>
  </w:style>
  <w:style w:type="character" w:customStyle="1" w:styleId="longtext">
    <w:name w:val="long_text"/>
    <w:rsid w:val="007668F0"/>
  </w:style>
  <w:style w:type="paragraph" w:styleId="TOC1">
    <w:name w:val="toc 1"/>
    <w:basedOn w:val="a4"/>
    <w:next w:val="a4"/>
    <w:uiPriority w:val="39"/>
    <w:rsid w:val="007668F0"/>
    <w:pPr>
      <w:tabs>
        <w:tab w:val="right" w:leader="dot" w:pos="9241"/>
      </w:tabs>
      <w:spacing w:beforeLines="25" w:before="25" w:afterLines="25" w:after="25"/>
      <w:jc w:val="left"/>
    </w:pPr>
    <w:rPr>
      <w:rFonts w:ascii="宋体"/>
      <w:szCs w:val="21"/>
    </w:rPr>
  </w:style>
  <w:style w:type="paragraph" w:customStyle="1" w:styleId="a1">
    <w:name w:val="章标题"/>
    <w:next w:val="a9"/>
    <w:rsid w:val="007668F0"/>
    <w:pPr>
      <w:numPr>
        <w:numId w:val="4"/>
      </w:numPr>
      <w:spacing w:beforeLines="100" w:before="312" w:afterLines="100" w:after="312"/>
      <w:jc w:val="both"/>
      <w:outlineLvl w:val="1"/>
    </w:pPr>
    <w:rPr>
      <w:rFonts w:ascii="黑体" w:eastAsia="黑体" w:hAnsi="Times New Roman" w:cs="Times New Roman"/>
      <w:kern w:val="0"/>
      <w:szCs w:val="20"/>
    </w:rPr>
  </w:style>
  <w:style w:type="paragraph" w:customStyle="1" w:styleId="a9">
    <w:name w:val="段"/>
    <w:link w:val="Char"/>
    <w:qFormat/>
    <w:rsid w:val="007668F0"/>
    <w:pPr>
      <w:tabs>
        <w:tab w:val="center" w:pos="4201"/>
        <w:tab w:val="right" w:leader="dot" w:pos="9298"/>
      </w:tabs>
      <w:autoSpaceDE w:val="0"/>
      <w:autoSpaceDN w:val="0"/>
      <w:ind w:firstLineChars="200" w:firstLine="420"/>
      <w:jc w:val="both"/>
    </w:pPr>
    <w:rPr>
      <w:rFonts w:ascii="宋体"/>
    </w:rPr>
  </w:style>
  <w:style w:type="paragraph" w:customStyle="1" w:styleId="a2">
    <w:name w:val="一级条标题"/>
    <w:next w:val="a9"/>
    <w:rsid w:val="007668F0"/>
    <w:pPr>
      <w:numPr>
        <w:ilvl w:val="1"/>
        <w:numId w:val="4"/>
      </w:numPr>
      <w:spacing w:beforeLines="50" w:before="156" w:afterLines="50" w:after="156"/>
      <w:outlineLvl w:val="2"/>
    </w:pPr>
    <w:rPr>
      <w:rFonts w:ascii="黑体" w:eastAsia="黑体" w:hAnsi="Times New Roman" w:cs="Times New Roman"/>
      <w:kern w:val="0"/>
      <w:szCs w:val="21"/>
    </w:rPr>
  </w:style>
  <w:style w:type="paragraph" w:customStyle="1" w:styleId="aa">
    <w:name w:val="封面标准文稿编辑信息"/>
    <w:basedOn w:val="ab"/>
    <w:rsid w:val="007668F0"/>
    <w:pPr>
      <w:framePr w:wrap="around"/>
      <w:spacing w:before="180" w:line="180" w:lineRule="exact"/>
    </w:pPr>
    <w:rPr>
      <w:sz w:val="21"/>
    </w:rPr>
  </w:style>
  <w:style w:type="paragraph" w:customStyle="1" w:styleId="ac">
    <w:name w:val="封面标准英文名称"/>
    <w:basedOn w:val="ad"/>
    <w:rsid w:val="007668F0"/>
    <w:pPr>
      <w:framePr w:wrap="around"/>
      <w:spacing w:before="370" w:line="400" w:lineRule="exact"/>
    </w:pPr>
    <w:rPr>
      <w:rFonts w:ascii="Times New Roman"/>
      <w:sz w:val="28"/>
      <w:szCs w:val="28"/>
    </w:rPr>
  </w:style>
  <w:style w:type="paragraph" w:customStyle="1" w:styleId="ae">
    <w:name w:val="标准书脚_奇数页"/>
    <w:rsid w:val="007668F0"/>
    <w:pPr>
      <w:spacing w:before="120"/>
      <w:ind w:right="198"/>
      <w:jc w:val="right"/>
    </w:pPr>
    <w:rPr>
      <w:rFonts w:ascii="宋体" w:eastAsia="宋体" w:hAnsi="Times New Roman" w:cs="Times New Roman"/>
      <w:kern w:val="0"/>
      <w:sz w:val="18"/>
      <w:szCs w:val="18"/>
    </w:rPr>
  </w:style>
  <w:style w:type="paragraph" w:customStyle="1" w:styleId="a0">
    <w:name w:val="注：（正文）"/>
    <w:basedOn w:val="a4"/>
    <w:next w:val="a9"/>
    <w:rsid w:val="007668F0"/>
    <w:pPr>
      <w:numPr>
        <w:numId w:val="6"/>
      </w:numPr>
      <w:autoSpaceDE w:val="0"/>
      <w:autoSpaceDN w:val="0"/>
    </w:pPr>
    <w:rPr>
      <w:rFonts w:ascii="宋体"/>
      <w:kern w:val="0"/>
      <w:sz w:val="18"/>
      <w:szCs w:val="18"/>
    </w:rPr>
  </w:style>
  <w:style w:type="paragraph" w:customStyle="1" w:styleId="af">
    <w:name w:val="目次、标准名称标题"/>
    <w:basedOn w:val="a4"/>
    <w:next w:val="a9"/>
    <w:rsid w:val="007668F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3">
    <w:name w:val="二级条标题"/>
    <w:basedOn w:val="a2"/>
    <w:next w:val="a9"/>
    <w:rsid w:val="007668F0"/>
    <w:pPr>
      <w:numPr>
        <w:ilvl w:val="2"/>
      </w:numPr>
      <w:spacing w:before="50" w:after="50"/>
      <w:outlineLvl w:val="3"/>
    </w:pPr>
  </w:style>
  <w:style w:type="paragraph" w:customStyle="1" w:styleId="af0">
    <w:name w:val="标准书眉_奇数页"/>
    <w:next w:val="a4"/>
    <w:qFormat/>
    <w:rsid w:val="007668F0"/>
    <w:pPr>
      <w:tabs>
        <w:tab w:val="center" w:pos="4154"/>
        <w:tab w:val="right" w:pos="8306"/>
      </w:tabs>
      <w:spacing w:after="220"/>
      <w:jc w:val="right"/>
    </w:pPr>
    <w:rPr>
      <w:rFonts w:ascii="黑体" w:eastAsia="黑体" w:hAnsi="Times New Roman" w:cs="Times New Roman"/>
      <w:kern w:val="0"/>
      <w:szCs w:val="21"/>
    </w:rPr>
  </w:style>
  <w:style w:type="paragraph" w:customStyle="1" w:styleId="af1">
    <w:name w:val="前言、引言标题"/>
    <w:next w:val="a9"/>
    <w:rsid w:val="007668F0"/>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21">
    <w:name w:val="封面标准号2"/>
    <w:rsid w:val="007668F0"/>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f2">
    <w:name w:val="标准称谓"/>
    <w:next w:val="a4"/>
    <w:rsid w:val="007668F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3">
    <w:name w:val="发布部门"/>
    <w:next w:val="a9"/>
    <w:rsid w:val="007668F0"/>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4">
    <w:name w:val="封面标准代替信息"/>
    <w:rsid w:val="007668F0"/>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ad">
    <w:name w:val="封面标准名称"/>
    <w:rsid w:val="007668F0"/>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5">
    <w:name w:val="封面一致性程度标识"/>
    <w:basedOn w:val="ac"/>
    <w:rsid w:val="007668F0"/>
    <w:pPr>
      <w:framePr w:wrap="around"/>
      <w:spacing w:before="440"/>
    </w:pPr>
    <w:rPr>
      <w:rFonts w:ascii="宋体" w:eastAsia="宋体"/>
    </w:rPr>
  </w:style>
  <w:style w:type="paragraph" w:customStyle="1" w:styleId="ab">
    <w:name w:val="封面标准文稿类别"/>
    <w:basedOn w:val="af5"/>
    <w:rsid w:val="007668F0"/>
    <w:pPr>
      <w:framePr w:wrap="around"/>
      <w:spacing w:after="160" w:line="240" w:lineRule="auto"/>
    </w:pPr>
    <w:rPr>
      <w:sz w:val="24"/>
    </w:rPr>
  </w:style>
  <w:style w:type="paragraph" w:customStyle="1" w:styleId="af6">
    <w:name w:val="文献分类号"/>
    <w:rsid w:val="007668F0"/>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7">
    <w:name w:val="终结线"/>
    <w:basedOn w:val="a4"/>
    <w:rsid w:val="007668F0"/>
    <w:pPr>
      <w:framePr w:hSpace="181" w:vSpace="181" w:wrap="around" w:vAnchor="text" w:hAnchor="margin" w:xAlign="center" w:y="285"/>
    </w:pPr>
  </w:style>
  <w:style w:type="paragraph" w:customStyle="1" w:styleId="af8">
    <w:name w:val="其他发布日期"/>
    <w:basedOn w:val="a4"/>
    <w:rsid w:val="007668F0"/>
    <w:pPr>
      <w:framePr w:w="3997" w:h="471" w:hRule="exact" w:vSpace="181" w:wrap="around" w:vAnchor="page" w:hAnchor="page" w:x="1419" w:y="14097" w:anchorLock="1"/>
      <w:widowControl/>
      <w:jc w:val="left"/>
    </w:pPr>
    <w:rPr>
      <w:rFonts w:eastAsia="黑体"/>
      <w:kern w:val="0"/>
      <w:sz w:val="28"/>
      <w:szCs w:val="20"/>
    </w:rPr>
  </w:style>
  <w:style w:type="paragraph" w:customStyle="1" w:styleId="af9">
    <w:name w:val="其他实施日期"/>
    <w:basedOn w:val="a4"/>
    <w:rsid w:val="007668F0"/>
    <w:pPr>
      <w:framePr w:w="3997" w:h="471" w:hRule="exact" w:vSpace="181" w:wrap="around" w:vAnchor="page" w:hAnchor="page" w:x="7089" w:y="14097" w:anchorLock="1"/>
      <w:widowControl/>
      <w:jc w:val="right"/>
    </w:pPr>
    <w:rPr>
      <w:rFonts w:eastAsia="黑体"/>
      <w:kern w:val="0"/>
      <w:sz w:val="28"/>
      <w:szCs w:val="20"/>
    </w:rPr>
  </w:style>
  <w:style w:type="paragraph" w:styleId="afa">
    <w:name w:val="List Paragraph"/>
    <w:basedOn w:val="a4"/>
    <w:uiPriority w:val="99"/>
    <w:qFormat/>
    <w:rsid w:val="007668F0"/>
    <w:pPr>
      <w:ind w:firstLine="420"/>
    </w:pPr>
  </w:style>
  <w:style w:type="paragraph" w:styleId="TOC2">
    <w:name w:val="toc 2"/>
    <w:basedOn w:val="a4"/>
    <w:next w:val="a4"/>
    <w:autoRedefine/>
    <w:uiPriority w:val="39"/>
    <w:unhideWhenUsed/>
    <w:rsid w:val="00F62293"/>
    <w:pPr>
      <w:ind w:leftChars="200" w:left="420"/>
    </w:pPr>
  </w:style>
  <w:style w:type="paragraph" w:styleId="TOC3">
    <w:name w:val="toc 3"/>
    <w:basedOn w:val="a4"/>
    <w:next w:val="a4"/>
    <w:autoRedefine/>
    <w:uiPriority w:val="39"/>
    <w:unhideWhenUsed/>
    <w:rsid w:val="00F62293"/>
    <w:pPr>
      <w:ind w:leftChars="400" w:left="840"/>
    </w:pPr>
  </w:style>
  <w:style w:type="character" w:styleId="afb">
    <w:name w:val="Placeholder Text"/>
    <w:basedOn w:val="a5"/>
    <w:uiPriority w:val="99"/>
    <w:semiHidden/>
    <w:rsid w:val="006265D4"/>
    <w:rPr>
      <w:color w:val="808080"/>
    </w:rPr>
  </w:style>
  <w:style w:type="table" w:styleId="afc">
    <w:name w:val="Table Grid"/>
    <w:basedOn w:val="a6"/>
    <w:uiPriority w:val="59"/>
    <w:qFormat/>
    <w:rsid w:val="00E14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3D96"/>
    <w:pPr>
      <w:widowControl w:val="0"/>
      <w:autoSpaceDE w:val="0"/>
      <w:autoSpaceDN w:val="0"/>
      <w:adjustRightInd w:val="0"/>
    </w:pPr>
    <w:rPr>
      <w:rFonts w:ascii="Arial" w:eastAsia="宋体" w:hAnsi="Arial" w:cs="Arial"/>
      <w:color w:val="000000"/>
      <w:kern w:val="0"/>
      <w:sz w:val="24"/>
      <w:szCs w:val="24"/>
    </w:rPr>
  </w:style>
  <w:style w:type="character" w:customStyle="1" w:styleId="20">
    <w:name w:val="标题 2 字符"/>
    <w:basedOn w:val="a5"/>
    <w:link w:val="2"/>
    <w:uiPriority w:val="9"/>
    <w:rsid w:val="00764C56"/>
    <w:rPr>
      <w:rFonts w:asciiTheme="majorHAnsi" w:eastAsia="黑体" w:hAnsiTheme="majorHAnsi" w:cstheme="majorBidi"/>
      <w:bCs/>
      <w:szCs w:val="32"/>
    </w:rPr>
  </w:style>
  <w:style w:type="character" w:customStyle="1" w:styleId="30">
    <w:name w:val="标题 3 字符"/>
    <w:basedOn w:val="a5"/>
    <w:link w:val="3"/>
    <w:uiPriority w:val="9"/>
    <w:rsid w:val="00764C56"/>
    <w:rPr>
      <w:rFonts w:asciiTheme="majorHAnsi" w:eastAsia="黑体" w:hAnsiTheme="majorHAnsi" w:cstheme="majorBidi"/>
      <w:szCs w:val="32"/>
    </w:rPr>
  </w:style>
  <w:style w:type="character" w:customStyle="1" w:styleId="40">
    <w:name w:val="标题 4 字符"/>
    <w:basedOn w:val="a5"/>
    <w:link w:val="4"/>
    <w:uiPriority w:val="9"/>
    <w:rsid w:val="0083532A"/>
    <w:rPr>
      <w:rFonts w:asciiTheme="majorHAnsi" w:eastAsia="黑体" w:hAnsiTheme="majorHAnsi" w:cstheme="majorBidi"/>
      <w:bCs/>
      <w:szCs w:val="28"/>
    </w:rPr>
  </w:style>
  <w:style w:type="paragraph" w:styleId="afd">
    <w:name w:val="Date"/>
    <w:basedOn w:val="a4"/>
    <w:next w:val="a4"/>
    <w:link w:val="afe"/>
    <w:uiPriority w:val="99"/>
    <w:semiHidden/>
    <w:unhideWhenUsed/>
    <w:rsid w:val="00B525A0"/>
    <w:pPr>
      <w:ind w:leftChars="2500" w:left="100"/>
    </w:pPr>
  </w:style>
  <w:style w:type="character" w:customStyle="1" w:styleId="afe">
    <w:name w:val="日期 字符"/>
    <w:basedOn w:val="a5"/>
    <w:link w:val="afd"/>
    <w:uiPriority w:val="99"/>
    <w:semiHidden/>
    <w:rsid w:val="00B525A0"/>
    <w:rPr>
      <w:rFonts w:ascii="Times New Roman" w:eastAsia="宋体" w:hAnsi="Times New Roman" w:cs="Times New Roman"/>
      <w:szCs w:val="24"/>
    </w:rPr>
  </w:style>
  <w:style w:type="character" w:customStyle="1" w:styleId="50">
    <w:name w:val="标题 5 字符"/>
    <w:basedOn w:val="a5"/>
    <w:link w:val="5"/>
    <w:uiPriority w:val="9"/>
    <w:rsid w:val="002C6886"/>
    <w:rPr>
      <w:rFonts w:ascii="Times New Roman" w:eastAsia="宋体" w:hAnsi="Times New Roman" w:cs="Times New Roman"/>
      <w:bCs/>
      <w:szCs w:val="28"/>
    </w:rPr>
  </w:style>
  <w:style w:type="character" w:customStyle="1" w:styleId="10">
    <w:name w:val="标题 1 字符"/>
    <w:basedOn w:val="a5"/>
    <w:link w:val="1"/>
    <w:uiPriority w:val="9"/>
    <w:rsid w:val="0099187D"/>
    <w:rPr>
      <w:rFonts w:ascii="Times New Roman" w:eastAsia="宋体" w:hAnsi="Times New Roman" w:cs="Times New Roman"/>
      <w:bCs/>
      <w:kern w:val="44"/>
      <w:szCs w:val="44"/>
    </w:rPr>
  </w:style>
  <w:style w:type="paragraph" w:styleId="aff">
    <w:name w:val="header"/>
    <w:basedOn w:val="a4"/>
    <w:link w:val="aff0"/>
    <w:uiPriority w:val="99"/>
    <w:unhideWhenUsed/>
    <w:rsid w:val="004772AB"/>
    <w:pPr>
      <w:pBdr>
        <w:bottom w:val="single" w:sz="6" w:space="1" w:color="auto"/>
      </w:pBdr>
      <w:tabs>
        <w:tab w:val="center" w:pos="4153"/>
        <w:tab w:val="right" w:pos="8306"/>
      </w:tabs>
      <w:snapToGrid w:val="0"/>
      <w:jc w:val="center"/>
    </w:pPr>
    <w:rPr>
      <w:sz w:val="18"/>
      <w:szCs w:val="18"/>
    </w:rPr>
  </w:style>
  <w:style w:type="character" w:customStyle="1" w:styleId="aff0">
    <w:name w:val="页眉 字符"/>
    <w:basedOn w:val="a5"/>
    <w:link w:val="aff"/>
    <w:uiPriority w:val="99"/>
    <w:rsid w:val="004772AB"/>
    <w:rPr>
      <w:rFonts w:ascii="Times New Roman" w:eastAsia="宋体" w:hAnsi="Times New Roman" w:cs="Times New Roman"/>
      <w:sz w:val="18"/>
      <w:szCs w:val="18"/>
    </w:rPr>
  </w:style>
  <w:style w:type="paragraph" w:styleId="aff1">
    <w:name w:val="footer"/>
    <w:basedOn w:val="a4"/>
    <w:link w:val="aff2"/>
    <w:uiPriority w:val="99"/>
    <w:unhideWhenUsed/>
    <w:qFormat/>
    <w:rsid w:val="004772AB"/>
    <w:pPr>
      <w:tabs>
        <w:tab w:val="center" w:pos="4153"/>
        <w:tab w:val="right" w:pos="8306"/>
      </w:tabs>
      <w:snapToGrid w:val="0"/>
      <w:jc w:val="left"/>
    </w:pPr>
    <w:rPr>
      <w:sz w:val="18"/>
      <w:szCs w:val="18"/>
    </w:rPr>
  </w:style>
  <w:style w:type="character" w:customStyle="1" w:styleId="aff2">
    <w:name w:val="页脚 字符"/>
    <w:basedOn w:val="a5"/>
    <w:link w:val="aff1"/>
    <w:uiPriority w:val="99"/>
    <w:rsid w:val="004772AB"/>
    <w:rPr>
      <w:rFonts w:ascii="Times New Roman" w:eastAsia="宋体" w:hAnsi="Times New Roman" w:cs="Times New Roman"/>
      <w:sz w:val="18"/>
      <w:szCs w:val="18"/>
    </w:rPr>
  </w:style>
  <w:style w:type="paragraph" w:customStyle="1" w:styleId="aff3">
    <w:basedOn w:val="a4"/>
    <w:next w:val="afa"/>
    <w:uiPriority w:val="34"/>
    <w:qFormat/>
    <w:rsid w:val="00C85AA2"/>
    <w:pPr>
      <w:ind w:firstLine="420"/>
    </w:pPr>
    <w:rPr>
      <w:rFonts w:ascii="Calibri" w:hAnsi="Calibri"/>
      <w:szCs w:val="22"/>
    </w:rPr>
  </w:style>
  <w:style w:type="paragraph" w:customStyle="1" w:styleId="aff4">
    <w:name w:val="附录章标题"/>
    <w:next w:val="a9"/>
    <w:rsid w:val="00C85AA2"/>
    <w:pPr>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ff5">
    <w:name w:val="附录表标题"/>
    <w:basedOn w:val="a4"/>
    <w:next w:val="a9"/>
    <w:rsid w:val="002641AB"/>
    <w:pPr>
      <w:spacing w:beforeLines="50" w:afterLines="50"/>
      <w:ind w:firstLineChars="0" w:firstLine="0"/>
      <w:jc w:val="center"/>
    </w:pPr>
    <w:rPr>
      <w:rFonts w:ascii="黑体" w:eastAsia="黑体"/>
      <w:szCs w:val="21"/>
    </w:rPr>
  </w:style>
  <w:style w:type="paragraph" w:customStyle="1" w:styleId="a">
    <w:name w:val="附录图标题"/>
    <w:basedOn w:val="a4"/>
    <w:next w:val="a9"/>
    <w:rsid w:val="00CB6F89"/>
    <w:pPr>
      <w:numPr>
        <w:ilvl w:val="1"/>
        <w:numId w:val="28"/>
      </w:numPr>
      <w:spacing w:beforeLines="50" w:afterLines="50"/>
      <w:ind w:firstLineChars="0" w:firstLine="0"/>
      <w:jc w:val="center"/>
    </w:pPr>
    <w:rPr>
      <w:rFonts w:ascii="黑体" w:eastAsia="黑体"/>
      <w:szCs w:val="21"/>
    </w:rPr>
  </w:style>
  <w:style w:type="paragraph" w:styleId="aff6">
    <w:name w:val="Balloon Text"/>
    <w:basedOn w:val="a4"/>
    <w:link w:val="aff7"/>
    <w:uiPriority w:val="99"/>
    <w:semiHidden/>
    <w:unhideWhenUsed/>
    <w:rsid w:val="00E03350"/>
    <w:rPr>
      <w:sz w:val="18"/>
      <w:szCs w:val="18"/>
    </w:rPr>
  </w:style>
  <w:style w:type="character" w:customStyle="1" w:styleId="aff7">
    <w:name w:val="批注框文本 字符"/>
    <w:basedOn w:val="a5"/>
    <w:link w:val="aff6"/>
    <w:uiPriority w:val="99"/>
    <w:semiHidden/>
    <w:rsid w:val="00E03350"/>
    <w:rPr>
      <w:rFonts w:ascii="Times New Roman" w:eastAsia="宋体" w:hAnsi="Times New Roman" w:cs="Times New Roman"/>
      <w:sz w:val="18"/>
      <w:szCs w:val="18"/>
    </w:rPr>
  </w:style>
  <w:style w:type="character" w:styleId="aff8">
    <w:name w:val="annotation reference"/>
    <w:basedOn w:val="a5"/>
    <w:uiPriority w:val="99"/>
    <w:semiHidden/>
    <w:unhideWhenUsed/>
    <w:rsid w:val="00E03350"/>
    <w:rPr>
      <w:sz w:val="21"/>
      <w:szCs w:val="21"/>
    </w:rPr>
  </w:style>
  <w:style w:type="paragraph" w:styleId="aff9">
    <w:name w:val="annotation text"/>
    <w:basedOn w:val="a4"/>
    <w:link w:val="affa"/>
    <w:uiPriority w:val="99"/>
    <w:semiHidden/>
    <w:unhideWhenUsed/>
    <w:rsid w:val="00E03350"/>
    <w:pPr>
      <w:jc w:val="left"/>
    </w:pPr>
  </w:style>
  <w:style w:type="character" w:customStyle="1" w:styleId="affa">
    <w:name w:val="批注文字 字符"/>
    <w:basedOn w:val="a5"/>
    <w:link w:val="aff9"/>
    <w:uiPriority w:val="99"/>
    <w:semiHidden/>
    <w:rsid w:val="00E03350"/>
    <w:rPr>
      <w:rFonts w:ascii="Times New Roman" w:eastAsia="宋体" w:hAnsi="Times New Roman" w:cs="Times New Roman"/>
      <w:szCs w:val="24"/>
    </w:rPr>
  </w:style>
  <w:style w:type="paragraph" w:styleId="affb">
    <w:name w:val="annotation subject"/>
    <w:basedOn w:val="aff9"/>
    <w:next w:val="aff9"/>
    <w:link w:val="affc"/>
    <w:uiPriority w:val="99"/>
    <w:semiHidden/>
    <w:unhideWhenUsed/>
    <w:rsid w:val="00E03350"/>
    <w:rPr>
      <w:b/>
      <w:bCs/>
    </w:rPr>
  </w:style>
  <w:style w:type="character" w:customStyle="1" w:styleId="affc">
    <w:name w:val="批注主题 字符"/>
    <w:basedOn w:val="affa"/>
    <w:link w:val="affb"/>
    <w:uiPriority w:val="99"/>
    <w:semiHidden/>
    <w:rsid w:val="00E03350"/>
    <w:rPr>
      <w:rFonts w:ascii="Times New Roman" w:eastAsia="宋体" w:hAnsi="Times New Roman" w:cs="Times New Roman"/>
      <w:b/>
      <w:bCs/>
      <w:szCs w:val="24"/>
    </w:rPr>
  </w:style>
  <w:style w:type="paragraph" w:styleId="affd">
    <w:name w:val="Revision"/>
    <w:hidden/>
    <w:uiPriority w:val="99"/>
    <w:semiHidden/>
    <w:rsid w:val="00453AFE"/>
    <w:rPr>
      <w:rFonts w:ascii="Times New Roman" w:eastAsia="宋体" w:hAnsi="Times New Roman" w:cs="Times New Roman"/>
      <w:szCs w:val="24"/>
    </w:rPr>
  </w:style>
  <w:style w:type="paragraph" w:customStyle="1" w:styleId="affe">
    <w:name w:val="标准书眉_偶数页"/>
    <w:basedOn w:val="af0"/>
    <w:next w:val="a4"/>
    <w:qFormat/>
    <w:rsid w:val="00343617"/>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3110</TotalTime>
  <Pages>23</Pages>
  <Words>2335</Words>
  <Characters>13316</Characters>
  <Application>Microsoft Office Word</Application>
  <DocSecurity>0</DocSecurity>
  <Lines>110</Lines>
  <Paragraphs>31</Paragraphs>
  <ScaleCrop>false</ScaleCrop>
  <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 群</dc:creator>
  <cp:keywords/>
  <dc:description/>
  <cp:lastModifiedBy>方 群</cp:lastModifiedBy>
  <cp:revision>616</cp:revision>
  <dcterms:created xsi:type="dcterms:W3CDTF">2018-09-19T05:24:00Z</dcterms:created>
  <dcterms:modified xsi:type="dcterms:W3CDTF">2019-09-19T06:00:00Z</dcterms:modified>
</cp:coreProperties>
</file>