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jc w:val="center"/>
        <w:textAlignment w:val="auto"/>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val="en-US" w:eastAsia="zh-CN"/>
        </w:rPr>
        <w:t>建材行业标准</w:t>
      </w: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lang w:val="en-US" w:eastAsia="zh-CN"/>
        </w:rPr>
      </w:pP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44"/>
          <w:szCs w:val="44"/>
        </w:rPr>
      </w:pPr>
      <w:r>
        <w:rPr>
          <w:rFonts w:hint="eastAsia" w:ascii="宋体" w:hAnsi="宋体" w:eastAsia="宋体" w:cs="宋体"/>
          <w:color w:val="auto"/>
          <w:sz w:val="44"/>
          <w:szCs w:val="44"/>
        </w:rPr>
        <w:t>《建筑材料生产企业固废物综合利用规范》</w:t>
      </w: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36"/>
          <w:szCs w:val="36"/>
        </w:rPr>
      </w:pPr>
      <w:r>
        <w:rPr>
          <w:rFonts w:hint="eastAsia"/>
          <w:color w:val="auto"/>
          <w:sz w:val="28"/>
          <w:szCs w:val="36"/>
          <w:lang w:val="en-US" w:eastAsia="zh-CN"/>
        </w:rPr>
        <w:t>Specification</w:t>
      </w:r>
      <w:r>
        <w:rPr>
          <w:color w:val="auto"/>
          <w:sz w:val="28"/>
          <w:szCs w:val="36"/>
        </w:rPr>
        <w:t xml:space="preserve"> </w:t>
      </w:r>
      <w:r>
        <w:rPr>
          <w:rFonts w:hint="eastAsia"/>
          <w:color w:val="auto"/>
          <w:sz w:val="28"/>
          <w:szCs w:val="36"/>
          <w:lang w:val="en-US" w:eastAsia="zh-CN"/>
        </w:rPr>
        <w:t>of</w:t>
      </w:r>
      <w:r>
        <w:rPr>
          <w:color w:val="auto"/>
          <w:sz w:val="28"/>
          <w:szCs w:val="36"/>
        </w:rPr>
        <w:t xml:space="preserve"> </w:t>
      </w:r>
      <w:r>
        <w:rPr>
          <w:rFonts w:hint="eastAsia"/>
          <w:color w:val="auto"/>
          <w:sz w:val="28"/>
          <w:szCs w:val="36"/>
          <w:lang w:val="en-US" w:eastAsia="zh-CN"/>
        </w:rPr>
        <w:t>solid waste</w:t>
      </w:r>
      <w:r>
        <w:rPr>
          <w:color w:val="auto"/>
          <w:sz w:val="28"/>
          <w:szCs w:val="36"/>
        </w:rPr>
        <w:t xml:space="preserve"> comprehensive utilization for building material industry enterprises</w:t>
      </w: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jc w:val="center"/>
        <w:textAlignment w:val="auto"/>
        <w:rPr>
          <w:rFonts w:hint="eastAsia" w:ascii="仿宋" w:hAnsi="仿宋" w:eastAsia="仿宋" w:cs="仿宋"/>
          <w:b/>
          <w:bCs/>
          <w:color w:val="auto"/>
          <w:sz w:val="72"/>
          <w:szCs w:val="72"/>
        </w:rPr>
      </w:pPr>
      <w:r>
        <w:rPr>
          <w:rFonts w:hint="eastAsia" w:ascii="仿宋" w:hAnsi="仿宋" w:eastAsia="仿宋" w:cs="仿宋"/>
          <w:b/>
          <w:bCs/>
          <w:color w:val="auto"/>
          <w:sz w:val="72"/>
          <w:szCs w:val="72"/>
        </w:rPr>
        <w:t>编制说明</w:t>
      </w: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（征求意见稿）</w:t>
      </w: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jc w:val="both"/>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jc w:val="both"/>
        <w:textAlignment w:val="auto"/>
        <w:rPr>
          <w:rFonts w:hint="eastAsia" w:ascii="仿宋" w:hAnsi="仿宋" w:eastAsia="仿宋" w:cs="仿宋"/>
          <w:color w:val="auto"/>
          <w:sz w:val="36"/>
          <w:szCs w:val="36"/>
        </w:rPr>
      </w:pPr>
    </w:p>
    <w:p>
      <w:pPr>
        <w:pageBreakBefore w:val="0"/>
        <w:kinsoku/>
        <w:wordWrap/>
        <w:overflowPunct/>
        <w:topLinePunct w:val="0"/>
        <w:bidi w:val="0"/>
        <w:adjustRightInd/>
        <w:snapToGrid/>
        <w:spacing w:line="360" w:lineRule="auto"/>
        <w:jc w:val="center"/>
        <w:textAlignment w:val="auto"/>
        <w:rPr>
          <w:rFonts w:hint="eastAsia" w:ascii="仿宋" w:hAnsi="仿宋" w:eastAsia="仿宋" w:cs="仿宋"/>
          <w:color w:val="auto"/>
          <w:sz w:val="36"/>
          <w:szCs w:val="36"/>
          <w:lang w:eastAsia="zh-CN"/>
        </w:rPr>
      </w:pPr>
      <w:r>
        <w:rPr>
          <w:rFonts w:hint="eastAsia" w:ascii="仿宋" w:hAnsi="仿宋" w:eastAsia="仿宋" w:cs="仿宋"/>
          <w:color w:val="auto"/>
          <w:sz w:val="36"/>
          <w:szCs w:val="36"/>
        </w:rPr>
        <w:t>标准</w:t>
      </w:r>
      <w:r>
        <w:rPr>
          <w:rFonts w:hint="eastAsia" w:ascii="仿宋" w:hAnsi="仿宋" w:eastAsia="仿宋" w:cs="仿宋"/>
          <w:color w:val="auto"/>
          <w:sz w:val="36"/>
          <w:szCs w:val="36"/>
          <w:lang w:val="en-US" w:eastAsia="zh-CN"/>
        </w:rPr>
        <w:t>编制组</w:t>
      </w:r>
    </w:p>
    <w:p>
      <w:pPr>
        <w:pageBreakBefore w:val="0"/>
        <w:kinsoku/>
        <w:wordWrap/>
        <w:overflowPunct/>
        <w:topLinePunct w:val="0"/>
        <w:bidi w:val="0"/>
        <w:adjustRightInd/>
        <w:snapToGrid/>
        <w:spacing w:line="360" w:lineRule="auto"/>
        <w:jc w:val="center"/>
        <w:textAlignment w:val="auto"/>
        <w:rPr>
          <w:rFonts w:hint="eastAsia" w:ascii="仿宋" w:hAnsi="仿宋" w:eastAsia="仿宋" w:cs="仿宋"/>
          <w:color w:val="auto"/>
          <w:sz w:val="36"/>
          <w:szCs w:val="36"/>
        </w:rPr>
      </w:pPr>
      <w:r>
        <w:rPr>
          <w:rFonts w:hint="eastAsia" w:ascii="仿宋" w:hAnsi="仿宋" w:eastAsia="仿宋" w:cs="仿宋"/>
          <w:color w:val="auto"/>
          <w:sz w:val="36"/>
          <w:szCs w:val="36"/>
        </w:rPr>
        <w:t>20</w:t>
      </w:r>
      <w:r>
        <w:rPr>
          <w:rFonts w:hint="eastAsia" w:ascii="仿宋" w:hAnsi="仿宋" w:eastAsia="仿宋" w:cs="仿宋"/>
          <w:color w:val="auto"/>
          <w:sz w:val="36"/>
          <w:szCs w:val="36"/>
          <w:lang w:val="en-US" w:eastAsia="zh-CN"/>
        </w:rPr>
        <w:t>20</w:t>
      </w:r>
      <w:r>
        <w:rPr>
          <w:rFonts w:hint="eastAsia" w:ascii="仿宋" w:hAnsi="仿宋" w:eastAsia="仿宋" w:cs="仿宋"/>
          <w:color w:val="auto"/>
          <w:sz w:val="36"/>
          <w:szCs w:val="36"/>
        </w:rPr>
        <w:t>年</w:t>
      </w:r>
      <w:r>
        <w:rPr>
          <w:rFonts w:hint="eastAsia" w:ascii="仿宋" w:hAnsi="仿宋" w:eastAsia="仿宋" w:cs="仿宋"/>
          <w:color w:val="auto"/>
          <w:sz w:val="36"/>
          <w:szCs w:val="36"/>
          <w:lang w:val="en-US" w:eastAsia="zh-CN"/>
        </w:rPr>
        <w:t>3</w:t>
      </w:r>
      <w:r>
        <w:rPr>
          <w:rFonts w:hint="eastAsia" w:ascii="仿宋" w:hAnsi="仿宋" w:eastAsia="仿宋" w:cs="仿宋"/>
          <w:color w:val="auto"/>
          <w:sz w:val="36"/>
          <w:szCs w:val="36"/>
        </w:rPr>
        <w:t>月</w:t>
      </w:r>
    </w:p>
    <w:p>
      <w:pPr>
        <w:pageBreakBefore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pageBreakBefore w:val="0"/>
        <w:kinsoku/>
        <w:wordWrap/>
        <w:overflowPunct/>
        <w:topLinePunct w:val="0"/>
        <w:bidi w:val="0"/>
        <w:adjustRightInd/>
        <w:snapToGrid/>
        <w:spacing w:before="0" w:beforeLines="0" w:after="0" w:afterLines="0" w:line="360" w:lineRule="auto"/>
        <w:ind w:left="0" w:leftChars="0" w:right="0" w:rightChars="0" w:firstLine="0" w:firstLineChars="0"/>
        <w:jc w:val="center"/>
        <w:textAlignment w:val="auto"/>
        <w:rPr>
          <w:rFonts w:hint="eastAsia" w:ascii="宋体" w:hAnsi="宋体" w:eastAsia="宋体" w:cs="宋体"/>
          <w:b/>
          <w:color w:val="auto"/>
          <w:kern w:val="2"/>
          <w:sz w:val="24"/>
          <w:szCs w:val="24"/>
          <w:lang w:val="en-US" w:eastAsia="zh-CN" w:bidi="ar-SA"/>
        </w:rPr>
      </w:pPr>
      <w:r>
        <w:rPr>
          <w:rFonts w:hint="eastAsia" w:ascii="宋体" w:hAnsi="宋体" w:eastAsia="宋体" w:cs="宋体"/>
          <w:b/>
          <w:bCs/>
          <w:color w:val="auto"/>
          <w:sz w:val="32"/>
          <w:szCs w:val="32"/>
        </w:rPr>
        <w:t>目</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录</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TOC \o "1-2" \h \u </w:instrText>
      </w:r>
      <w:r>
        <w:rPr>
          <w:rFonts w:hint="eastAsia" w:ascii="宋体" w:hAnsi="宋体" w:eastAsia="宋体" w:cs="宋体"/>
          <w:color w:val="auto"/>
          <w:sz w:val="24"/>
          <w:szCs w:val="24"/>
        </w:rPr>
        <w:fldChar w:fldCharType="separate"/>
      </w:r>
    </w:p>
    <w:p>
      <w:pPr>
        <w:pStyle w:val="10"/>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_Toc13876 </w:instrText>
      </w:r>
      <w:r>
        <w:rPr>
          <w:rFonts w:hint="eastAsia" w:ascii="宋体" w:hAnsi="宋体" w:eastAsia="宋体" w:cs="宋体"/>
          <w:szCs w:val="24"/>
        </w:rPr>
        <w:fldChar w:fldCharType="separate"/>
      </w:r>
      <w:r>
        <w:rPr>
          <w:rFonts w:hint="eastAsia" w:ascii="黑体" w:hAnsi="黑体" w:eastAsia="黑体" w:cs="黑体"/>
          <w:bCs/>
          <w:szCs w:val="32"/>
          <w:lang w:val="en-US" w:eastAsia="zh-CN"/>
        </w:rPr>
        <w:t>一、</w:t>
      </w:r>
      <w:r>
        <w:rPr>
          <w:rFonts w:hint="eastAsia" w:ascii="黑体" w:hAnsi="黑体" w:eastAsia="黑体" w:cs="黑体"/>
          <w:bCs/>
          <w:szCs w:val="28"/>
        </w:rPr>
        <w:t>工作简况</w:t>
      </w:r>
      <w:r>
        <w:tab/>
      </w:r>
      <w:r>
        <w:fldChar w:fldCharType="begin"/>
      </w:r>
      <w:r>
        <w:instrText xml:space="preserve"> PAGEREF _Toc13876 </w:instrText>
      </w:r>
      <w:r>
        <w:fldChar w:fldCharType="separate"/>
      </w:r>
      <w:r>
        <w:t>1</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_Toc32611 </w:instrText>
      </w:r>
      <w:r>
        <w:rPr>
          <w:rFonts w:hint="eastAsia" w:ascii="宋体" w:hAnsi="宋体" w:eastAsia="宋体" w:cs="宋体"/>
          <w:szCs w:val="24"/>
        </w:rPr>
        <w:fldChar w:fldCharType="separate"/>
      </w:r>
      <w:r>
        <w:rPr>
          <w:rFonts w:hint="eastAsia" w:ascii="黑体" w:hAnsi="黑体" w:eastAsia="黑体" w:cs="黑体"/>
          <w:bCs w:val="0"/>
          <w:szCs w:val="24"/>
        </w:rPr>
        <w:t>1</w:t>
      </w:r>
      <w:r>
        <w:rPr>
          <w:rFonts w:hint="eastAsia" w:ascii="黑体" w:hAnsi="黑体" w:eastAsia="黑体" w:cs="黑体"/>
          <w:bCs w:val="0"/>
          <w:szCs w:val="24"/>
          <w:lang w:val="en-US" w:eastAsia="zh-CN"/>
        </w:rPr>
        <w:t xml:space="preserve">  </w:t>
      </w:r>
      <w:r>
        <w:rPr>
          <w:rFonts w:hint="eastAsia" w:ascii="黑体" w:hAnsi="黑体" w:eastAsia="黑体" w:cs="黑体"/>
          <w:bCs w:val="0"/>
          <w:szCs w:val="24"/>
        </w:rPr>
        <w:t>任务来源</w:t>
      </w:r>
      <w:r>
        <w:tab/>
      </w:r>
      <w:r>
        <w:fldChar w:fldCharType="begin"/>
      </w:r>
      <w:r>
        <w:instrText xml:space="preserve"> PAGEREF _Toc32611 </w:instrText>
      </w:r>
      <w:r>
        <w:fldChar w:fldCharType="separate"/>
      </w:r>
      <w:r>
        <w:t>1</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_Toc25650 </w:instrText>
      </w:r>
      <w:r>
        <w:rPr>
          <w:rFonts w:hint="eastAsia" w:ascii="宋体" w:hAnsi="宋体" w:eastAsia="宋体" w:cs="宋体"/>
          <w:szCs w:val="24"/>
        </w:rPr>
        <w:fldChar w:fldCharType="separate"/>
      </w:r>
      <w:r>
        <w:rPr>
          <w:rFonts w:hint="eastAsia" w:ascii="黑体" w:hAnsi="黑体" w:eastAsia="黑体" w:cs="黑体"/>
          <w:bCs w:val="0"/>
          <w:szCs w:val="24"/>
          <w:lang w:val="en-US" w:eastAsia="zh-CN"/>
        </w:rPr>
        <w:t xml:space="preserve">2  </w:t>
      </w:r>
      <w:r>
        <w:rPr>
          <w:rFonts w:hint="eastAsia" w:ascii="黑体" w:hAnsi="黑体" w:eastAsia="黑体" w:cs="黑体"/>
          <w:bCs w:val="0"/>
          <w:szCs w:val="24"/>
        </w:rPr>
        <w:t>国内外生产、应用与标准情况调研</w:t>
      </w:r>
      <w:r>
        <w:tab/>
      </w:r>
      <w:r>
        <w:fldChar w:fldCharType="begin"/>
      </w:r>
      <w:r>
        <w:instrText xml:space="preserve"> PAGEREF _Toc25650 </w:instrText>
      </w:r>
      <w:r>
        <w:fldChar w:fldCharType="separate"/>
      </w:r>
      <w:r>
        <w:t>2</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_Toc31135 </w:instrText>
      </w:r>
      <w:r>
        <w:rPr>
          <w:rFonts w:hint="eastAsia" w:ascii="宋体" w:hAnsi="宋体" w:eastAsia="宋体" w:cs="宋体"/>
          <w:szCs w:val="24"/>
        </w:rPr>
        <w:fldChar w:fldCharType="separate"/>
      </w:r>
      <w:r>
        <w:rPr>
          <w:rFonts w:hint="eastAsia" w:ascii="黑体" w:hAnsi="黑体" w:eastAsia="黑体" w:cs="黑体"/>
          <w:bCs w:val="0"/>
          <w:szCs w:val="24"/>
          <w:lang w:val="en-US" w:eastAsia="zh-CN"/>
        </w:rPr>
        <w:t>3  工作简况</w:t>
      </w:r>
      <w:r>
        <w:tab/>
      </w:r>
      <w:r>
        <w:fldChar w:fldCharType="begin"/>
      </w:r>
      <w:r>
        <w:instrText xml:space="preserve"> PAGEREF _Toc31135 </w:instrText>
      </w:r>
      <w:r>
        <w:fldChar w:fldCharType="separate"/>
      </w:r>
      <w:r>
        <w:t>3</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_Toc7929 </w:instrText>
      </w:r>
      <w:r>
        <w:rPr>
          <w:rFonts w:hint="eastAsia" w:ascii="宋体" w:hAnsi="宋体" w:eastAsia="宋体" w:cs="宋体"/>
          <w:szCs w:val="24"/>
        </w:rPr>
        <w:fldChar w:fldCharType="separate"/>
      </w:r>
      <w:r>
        <w:rPr>
          <w:rFonts w:hint="eastAsia" w:ascii="黑体" w:hAnsi="黑体" w:eastAsia="黑体" w:cs="黑体"/>
          <w:bCs w:val="0"/>
          <w:szCs w:val="24"/>
          <w:lang w:val="en-US" w:eastAsia="zh-CN"/>
        </w:rPr>
        <w:t xml:space="preserve">4  </w:t>
      </w:r>
      <w:r>
        <w:rPr>
          <w:rFonts w:hint="eastAsia" w:ascii="黑体" w:hAnsi="黑体" w:eastAsia="黑体" w:cs="黑体"/>
          <w:bCs w:val="0"/>
          <w:szCs w:val="24"/>
        </w:rPr>
        <w:t>主要参加单位和主要工作内容</w:t>
      </w:r>
      <w:r>
        <w:tab/>
      </w:r>
      <w:r>
        <w:fldChar w:fldCharType="begin"/>
      </w:r>
      <w:r>
        <w:instrText xml:space="preserve"> PAGEREF _Toc7929 </w:instrText>
      </w:r>
      <w:r>
        <w:fldChar w:fldCharType="separate"/>
      </w:r>
      <w:r>
        <w:t>4</w:t>
      </w:r>
      <w:r>
        <w:fldChar w:fldCharType="end"/>
      </w:r>
      <w:r>
        <w:rPr>
          <w:rFonts w:hint="eastAsia" w:ascii="宋体" w:hAnsi="宋体" w:eastAsia="宋体" w:cs="宋体"/>
          <w:color w:val="auto"/>
          <w:szCs w:val="24"/>
        </w:rPr>
        <w:fldChar w:fldCharType="end"/>
      </w:r>
    </w:p>
    <w:p>
      <w:pPr>
        <w:pStyle w:val="10"/>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_Toc10874 </w:instrText>
      </w:r>
      <w:r>
        <w:rPr>
          <w:rFonts w:hint="eastAsia" w:ascii="宋体" w:hAnsi="宋体" w:eastAsia="宋体" w:cs="宋体"/>
          <w:szCs w:val="24"/>
        </w:rPr>
        <w:fldChar w:fldCharType="separate"/>
      </w:r>
      <w:r>
        <w:rPr>
          <w:rFonts w:hint="eastAsia" w:ascii="Times New Roman" w:hAnsi="Times New Roman" w:eastAsia="黑体"/>
          <w:bCs/>
          <w:szCs w:val="28"/>
          <w:lang w:val="en-US" w:eastAsia="zh-CN"/>
        </w:rPr>
        <w:t>二、</w:t>
      </w:r>
      <w:r>
        <w:rPr>
          <w:rFonts w:hint="eastAsia" w:ascii="Times New Roman" w:hAnsi="Times New Roman" w:eastAsia="黑体"/>
          <w:bCs/>
          <w:szCs w:val="28"/>
        </w:rPr>
        <w:t>编制原则和依据</w:t>
      </w:r>
      <w:r>
        <w:tab/>
      </w:r>
      <w:r>
        <w:fldChar w:fldCharType="begin"/>
      </w:r>
      <w:r>
        <w:instrText xml:space="preserve"> PAGEREF _Toc10874 </w:instrText>
      </w:r>
      <w:r>
        <w:fldChar w:fldCharType="separate"/>
      </w:r>
      <w:r>
        <w:t>4</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_Toc20474 </w:instrText>
      </w:r>
      <w:r>
        <w:rPr>
          <w:rFonts w:hint="eastAsia" w:ascii="宋体" w:hAnsi="宋体" w:eastAsia="宋体" w:cs="宋体"/>
          <w:szCs w:val="24"/>
        </w:rPr>
        <w:fldChar w:fldCharType="separate"/>
      </w:r>
      <w:r>
        <w:rPr>
          <w:rFonts w:hint="eastAsia" w:ascii="Times New Roman" w:hAnsi="Times New Roman" w:eastAsia="黑体"/>
          <w:bCs w:val="0"/>
          <w:szCs w:val="24"/>
        </w:rPr>
        <w:t>1</w:t>
      </w:r>
      <w:r>
        <w:rPr>
          <w:rFonts w:hint="eastAsia" w:ascii="Times New Roman" w:hAnsi="Times New Roman" w:eastAsia="黑体"/>
          <w:bCs w:val="0"/>
          <w:szCs w:val="24"/>
          <w:lang w:val="en-US" w:eastAsia="zh-CN"/>
        </w:rPr>
        <w:t xml:space="preserve">  </w:t>
      </w:r>
      <w:r>
        <w:rPr>
          <w:rFonts w:hint="eastAsia" w:ascii="Times New Roman" w:hAnsi="Times New Roman" w:eastAsia="黑体"/>
          <w:bCs w:val="0"/>
          <w:szCs w:val="24"/>
        </w:rPr>
        <w:t>编制原则</w:t>
      </w:r>
      <w:r>
        <w:tab/>
      </w:r>
      <w:r>
        <w:fldChar w:fldCharType="begin"/>
      </w:r>
      <w:r>
        <w:instrText xml:space="preserve"> PAGEREF _Toc20474 </w:instrText>
      </w:r>
      <w:r>
        <w:fldChar w:fldCharType="separate"/>
      </w:r>
      <w:r>
        <w:t>4</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_Toc5986 </w:instrText>
      </w:r>
      <w:r>
        <w:rPr>
          <w:rFonts w:hint="eastAsia" w:ascii="宋体" w:hAnsi="宋体" w:eastAsia="宋体" w:cs="宋体"/>
          <w:szCs w:val="24"/>
        </w:rPr>
        <w:fldChar w:fldCharType="separate"/>
      </w:r>
      <w:r>
        <w:rPr>
          <w:rFonts w:hint="eastAsia" w:ascii="Times New Roman" w:hAnsi="Times New Roman" w:eastAsia="黑体"/>
          <w:bCs w:val="0"/>
          <w:szCs w:val="24"/>
        </w:rPr>
        <w:t>2</w:t>
      </w:r>
      <w:r>
        <w:rPr>
          <w:rFonts w:hint="eastAsia" w:ascii="Times New Roman" w:hAnsi="Times New Roman" w:eastAsia="黑体"/>
          <w:bCs w:val="0"/>
          <w:szCs w:val="24"/>
          <w:lang w:val="en-US" w:eastAsia="zh-CN"/>
        </w:rPr>
        <w:t xml:space="preserve">  </w:t>
      </w:r>
      <w:r>
        <w:rPr>
          <w:rFonts w:hint="eastAsia" w:ascii="Times New Roman" w:hAnsi="Times New Roman" w:eastAsia="黑体"/>
          <w:bCs w:val="0"/>
          <w:szCs w:val="24"/>
        </w:rPr>
        <w:t>编制依据</w:t>
      </w:r>
      <w:r>
        <w:tab/>
      </w:r>
      <w:r>
        <w:fldChar w:fldCharType="begin"/>
      </w:r>
      <w:r>
        <w:instrText xml:space="preserve"> PAGEREF _Toc5986 </w:instrText>
      </w:r>
      <w:r>
        <w:fldChar w:fldCharType="separate"/>
      </w:r>
      <w:r>
        <w:t>5</w:t>
      </w:r>
      <w:r>
        <w:fldChar w:fldCharType="end"/>
      </w:r>
      <w:r>
        <w:rPr>
          <w:rFonts w:hint="eastAsia" w:ascii="宋体" w:hAnsi="宋体" w:eastAsia="宋体" w:cs="宋体"/>
          <w:color w:val="auto"/>
          <w:szCs w:val="24"/>
        </w:rPr>
        <w:fldChar w:fldCharType="end"/>
      </w:r>
    </w:p>
    <w:p>
      <w:pPr>
        <w:pStyle w:val="10"/>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_Toc10662 </w:instrText>
      </w:r>
      <w:r>
        <w:rPr>
          <w:rFonts w:hint="eastAsia" w:ascii="宋体" w:hAnsi="宋体" w:eastAsia="宋体" w:cs="宋体"/>
          <w:szCs w:val="24"/>
        </w:rPr>
        <w:fldChar w:fldCharType="separate"/>
      </w:r>
      <w:r>
        <w:rPr>
          <w:rFonts w:hint="eastAsia" w:ascii="Times New Roman" w:hAnsi="Times New Roman" w:eastAsia="黑体"/>
          <w:bCs/>
          <w:szCs w:val="28"/>
          <w:lang w:val="en-US" w:eastAsia="zh-CN"/>
        </w:rPr>
        <w:t>三、</w:t>
      </w:r>
      <w:r>
        <w:rPr>
          <w:rFonts w:hint="eastAsia" w:ascii="Times New Roman" w:hAnsi="Times New Roman" w:eastAsia="黑体"/>
          <w:bCs/>
          <w:szCs w:val="28"/>
        </w:rPr>
        <w:t>主要条文说明</w:t>
      </w:r>
      <w:r>
        <w:tab/>
      </w:r>
      <w:r>
        <w:fldChar w:fldCharType="begin"/>
      </w:r>
      <w:r>
        <w:instrText xml:space="preserve"> PAGEREF _Toc10662 </w:instrText>
      </w:r>
      <w:r>
        <w:fldChar w:fldCharType="separate"/>
      </w:r>
      <w:r>
        <w:t>5</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_Toc18643 </w:instrText>
      </w:r>
      <w:r>
        <w:rPr>
          <w:rFonts w:hint="eastAsia" w:ascii="宋体" w:hAnsi="宋体" w:eastAsia="宋体" w:cs="宋体"/>
          <w:szCs w:val="24"/>
        </w:rPr>
        <w:fldChar w:fldCharType="separate"/>
      </w:r>
      <w:r>
        <w:rPr>
          <w:rFonts w:hint="eastAsia" w:ascii="Times New Roman" w:hAnsi="Times New Roman" w:eastAsia="黑体"/>
          <w:bCs w:val="0"/>
          <w:szCs w:val="24"/>
        </w:rPr>
        <w:t>1</w:t>
      </w:r>
      <w:r>
        <w:rPr>
          <w:rFonts w:hint="eastAsia" w:ascii="Times New Roman" w:hAnsi="Times New Roman" w:eastAsia="黑体"/>
          <w:bCs w:val="0"/>
          <w:szCs w:val="24"/>
          <w:lang w:val="en-US" w:eastAsia="zh-CN"/>
        </w:rPr>
        <w:t xml:space="preserve">  </w:t>
      </w:r>
      <w:r>
        <w:rPr>
          <w:rFonts w:hint="eastAsia" w:ascii="Times New Roman" w:hAnsi="Times New Roman" w:eastAsia="黑体"/>
          <w:bCs w:val="0"/>
          <w:szCs w:val="24"/>
        </w:rPr>
        <w:t>范围</w:t>
      </w:r>
      <w:r>
        <w:tab/>
      </w:r>
      <w:r>
        <w:fldChar w:fldCharType="begin"/>
      </w:r>
      <w:r>
        <w:instrText xml:space="preserve"> PAGEREF _Toc18643 </w:instrText>
      </w:r>
      <w:r>
        <w:fldChar w:fldCharType="separate"/>
      </w:r>
      <w:r>
        <w:t>5</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_Toc31506 </w:instrText>
      </w:r>
      <w:r>
        <w:rPr>
          <w:rFonts w:hint="eastAsia" w:ascii="宋体" w:hAnsi="宋体" w:eastAsia="宋体" w:cs="宋体"/>
          <w:szCs w:val="24"/>
        </w:rPr>
        <w:fldChar w:fldCharType="separate"/>
      </w:r>
      <w:r>
        <w:rPr>
          <w:rFonts w:hint="eastAsia" w:ascii="Times New Roman" w:hAnsi="Times New Roman" w:eastAsia="黑体"/>
          <w:bCs w:val="0"/>
          <w:szCs w:val="24"/>
        </w:rPr>
        <w:t>2</w:t>
      </w:r>
      <w:r>
        <w:rPr>
          <w:rFonts w:hint="eastAsia" w:ascii="Times New Roman" w:hAnsi="Times New Roman" w:eastAsia="黑体"/>
          <w:bCs w:val="0"/>
          <w:szCs w:val="24"/>
          <w:lang w:val="en-US" w:eastAsia="zh-CN"/>
        </w:rPr>
        <w:t xml:space="preserve">  规范性</w:t>
      </w:r>
      <w:r>
        <w:rPr>
          <w:rFonts w:hint="eastAsia" w:ascii="Times New Roman" w:hAnsi="Times New Roman" w:eastAsia="黑体"/>
          <w:bCs w:val="0"/>
          <w:szCs w:val="24"/>
        </w:rPr>
        <w:t>引用文件</w:t>
      </w:r>
      <w:r>
        <w:tab/>
      </w:r>
      <w:r>
        <w:fldChar w:fldCharType="begin"/>
      </w:r>
      <w:r>
        <w:instrText xml:space="preserve"> PAGEREF _Toc31506 </w:instrText>
      </w:r>
      <w:r>
        <w:fldChar w:fldCharType="separate"/>
      </w:r>
      <w:r>
        <w:t>6</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_Toc16370 </w:instrText>
      </w:r>
      <w:r>
        <w:rPr>
          <w:rFonts w:hint="eastAsia" w:ascii="宋体" w:hAnsi="宋体" w:eastAsia="宋体" w:cs="宋体"/>
          <w:szCs w:val="24"/>
        </w:rPr>
        <w:fldChar w:fldCharType="separate"/>
      </w:r>
      <w:r>
        <w:rPr>
          <w:rFonts w:hint="eastAsia" w:ascii="Times New Roman" w:hAnsi="Times New Roman" w:eastAsia="黑体"/>
          <w:bCs w:val="0"/>
          <w:szCs w:val="24"/>
        </w:rPr>
        <w:t>3</w:t>
      </w:r>
      <w:r>
        <w:rPr>
          <w:rFonts w:hint="eastAsia" w:ascii="Times New Roman" w:hAnsi="Times New Roman" w:eastAsia="黑体"/>
          <w:bCs w:val="0"/>
          <w:szCs w:val="24"/>
          <w:lang w:val="en-US" w:eastAsia="zh-CN"/>
        </w:rPr>
        <w:t xml:space="preserve"> </w:t>
      </w:r>
      <w:r>
        <w:rPr>
          <w:rFonts w:hint="eastAsia" w:ascii="Times New Roman" w:hAnsi="Times New Roman" w:eastAsia="黑体"/>
          <w:bCs w:val="0"/>
          <w:szCs w:val="24"/>
        </w:rPr>
        <w:t xml:space="preserve"> 术语和定义</w:t>
      </w:r>
      <w:r>
        <w:tab/>
      </w:r>
      <w:r>
        <w:fldChar w:fldCharType="begin"/>
      </w:r>
      <w:r>
        <w:instrText xml:space="preserve"> PAGEREF _Toc16370 </w:instrText>
      </w:r>
      <w:r>
        <w:fldChar w:fldCharType="separate"/>
      </w:r>
      <w:r>
        <w:t>6</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_Toc32168 </w:instrText>
      </w:r>
      <w:r>
        <w:rPr>
          <w:rFonts w:hint="eastAsia" w:ascii="宋体" w:hAnsi="宋体" w:eastAsia="宋体" w:cs="宋体"/>
          <w:szCs w:val="24"/>
        </w:rPr>
        <w:fldChar w:fldCharType="separate"/>
      </w:r>
      <w:r>
        <w:rPr>
          <w:rFonts w:hint="eastAsia" w:ascii="Times New Roman" w:hAnsi="Times New Roman" w:eastAsia="黑体"/>
          <w:bCs w:val="0"/>
          <w:szCs w:val="24"/>
          <w:lang w:val="en-US" w:eastAsia="zh-CN"/>
        </w:rPr>
        <w:t xml:space="preserve">4 </w:t>
      </w:r>
      <w:r>
        <w:rPr>
          <w:rFonts w:hint="eastAsia" w:ascii="Times New Roman" w:hAnsi="Times New Roman" w:eastAsia="黑体"/>
          <w:bCs w:val="0"/>
          <w:szCs w:val="24"/>
        </w:rPr>
        <w:t xml:space="preserve"> </w:t>
      </w:r>
      <w:r>
        <w:rPr>
          <w:rFonts w:hint="eastAsia" w:ascii="Times New Roman" w:hAnsi="Times New Roman" w:eastAsia="黑体"/>
          <w:bCs w:val="0"/>
          <w:szCs w:val="24"/>
          <w:lang w:val="en-US" w:eastAsia="zh-CN"/>
        </w:rPr>
        <w:t>基本要求</w:t>
      </w:r>
      <w:r>
        <w:tab/>
      </w:r>
      <w:r>
        <w:fldChar w:fldCharType="begin"/>
      </w:r>
      <w:r>
        <w:instrText xml:space="preserve"> PAGEREF _Toc32168 </w:instrText>
      </w:r>
      <w:r>
        <w:fldChar w:fldCharType="separate"/>
      </w:r>
      <w:r>
        <w:t>7</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_Toc501 </w:instrText>
      </w:r>
      <w:r>
        <w:rPr>
          <w:rFonts w:hint="eastAsia" w:ascii="宋体" w:hAnsi="宋体" w:eastAsia="宋体" w:cs="宋体"/>
          <w:szCs w:val="24"/>
        </w:rPr>
        <w:fldChar w:fldCharType="separate"/>
      </w:r>
      <w:r>
        <w:rPr>
          <w:rFonts w:hint="eastAsia" w:ascii="Times New Roman" w:hAnsi="Times New Roman" w:eastAsia="黑体"/>
          <w:bCs w:val="0"/>
          <w:szCs w:val="24"/>
          <w:lang w:val="en-US" w:eastAsia="zh-CN"/>
        </w:rPr>
        <w:t>5</w:t>
      </w:r>
      <w:r>
        <w:rPr>
          <w:rFonts w:hint="eastAsia" w:ascii="Times New Roman" w:hAnsi="Times New Roman" w:eastAsia="黑体"/>
          <w:bCs w:val="0"/>
          <w:szCs w:val="24"/>
        </w:rPr>
        <w:t xml:space="preserve"> </w:t>
      </w:r>
      <w:r>
        <w:rPr>
          <w:rFonts w:hint="eastAsia" w:ascii="Times New Roman" w:hAnsi="Times New Roman" w:eastAsia="黑体"/>
          <w:bCs w:val="0"/>
          <w:szCs w:val="24"/>
          <w:lang w:val="en-US" w:eastAsia="zh-CN"/>
        </w:rPr>
        <w:t xml:space="preserve"> 固体废物来源要求</w:t>
      </w:r>
      <w:r>
        <w:tab/>
      </w:r>
      <w:r>
        <w:fldChar w:fldCharType="begin"/>
      </w:r>
      <w:r>
        <w:instrText xml:space="preserve"> PAGEREF _Toc501 </w:instrText>
      </w:r>
      <w:r>
        <w:fldChar w:fldCharType="separate"/>
      </w:r>
      <w:r>
        <w:t>7</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_Toc21875 </w:instrText>
      </w:r>
      <w:r>
        <w:rPr>
          <w:rFonts w:hint="eastAsia" w:ascii="宋体" w:hAnsi="宋体" w:eastAsia="宋体" w:cs="宋体"/>
          <w:szCs w:val="24"/>
        </w:rPr>
        <w:fldChar w:fldCharType="separate"/>
      </w:r>
      <w:r>
        <w:rPr>
          <w:rFonts w:hint="eastAsia" w:ascii="Times New Roman" w:hAnsi="Times New Roman" w:eastAsia="黑体"/>
          <w:bCs w:val="0"/>
          <w:szCs w:val="24"/>
          <w:lang w:val="en-US" w:eastAsia="zh-CN"/>
        </w:rPr>
        <w:t xml:space="preserve">6 </w:t>
      </w:r>
      <w:r>
        <w:rPr>
          <w:rFonts w:hint="eastAsia" w:ascii="Times New Roman" w:hAnsi="Times New Roman" w:eastAsia="黑体"/>
          <w:bCs w:val="0"/>
          <w:szCs w:val="24"/>
        </w:rPr>
        <w:t xml:space="preserve"> </w:t>
      </w:r>
      <w:r>
        <w:rPr>
          <w:rFonts w:hint="eastAsia" w:ascii="Times New Roman" w:hAnsi="Times New Roman" w:eastAsia="黑体"/>
          <w:bCs w:val="0"/>
          <w:szCs w:val="24"/>
          <w:lang w:val="en-US" w:eastAsia="zh-CN"/>
        </w:rPr>
        <w:t>贮存及处置场所要求</w:t>
      </w:r>
      <w:r>
        <w:tab/>
      </w:r>
      <w:r>
        <w:fldChar w:fldCharType="begin"/>
      </w:r>
      <w:r>
        <w:instrText xml:space="preserve"> PAGEREF _Toc21875 </w:instrText>
      </w:r>
      <w:r>
        <w:fldChar w:fldCharType="separate"/>
      </w:r>
      <w:r>
        <w:t>8</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_Toc12219 </w:instrText>
      </w:r>
      <w:r>
        <w:rPr>
          <w:rFonts w:hint="eastAsia" w:ascii="宋体" w:hAnsi="宋体" w:eastAsia="宋体" w:cs="宋体"/>
          <w:szCs w:val="24"/>
        </w:rPr>
        <w:fldChar w:fldCharType="separate"/>
      </w:r>
      <w:r>
        <w:rPr>
          <w:rFonts w:hint="eastAsia" w:ascii="Times New Roman" w:hAnsi="Times New Roman" w:eastAsia="黑体"/>
          <w:bCs w:val="0"/>
          <w:szCs w:val="24"/>
          <w:lang w:val="en-US" w:eastAsia="zh-CN"/>
        </w:rPr>
        <w:t>7</w:t>
      </w:r>
      <w:r>
        <w:rPr>
          <w:rFonts w:hint="eastAsia" w:ascii="Times New Roman" w:hAnsi="Times New Roman" w:eastAsia="黑体"/>
          <w:bCs w:val="0"/>
          <w:szCs w:val="24"/>
        </w:rPr>
        <w:t xml:space="preserve"> </w:t>
      </w:r>
      <w:r>
        <w:rPr>
          <w:rFonts w:hint="eastAsia" w:ascii="Times New Roman" w:hAnsi="Times New Roman" w:eastAsia="黑体"/>
          <w:bCs w:val="0"/>
          <w:szCs w:val="24"/>
          <w:lang w:val="en-US" w:eastAsia="zh-CN"/>
        </w:rPr>
        <w:t xml:space="preserve"> 计量器具要求</w:t>
      </w:r>
      <w:r>
        <w:tab/>
      </w:r>
      <w:r>
        <w:fldChar w:fldCharType="begin"/>
      </w:r>
      <w:r>
        <w:instrText xml:space="preserve"> PAGEREF _Toc12219 </w:instrText>
      </w:r>
      <w:r>
        <w:fldChar w:fldCharType="separate"/>
      </w:r>
      <w:r>
        <w:t>8</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_Toc205 </w:instrText>
      </w:r>
      <w:r>
        <w:rPr>
          <w:rFonts w:hint="eastAsia" w:ascii="宋体" w:hAnsi="宋体" w:eastAsia="宋体" w:cs="宋体"/>
          <w:szCs w:val="24"/>
        </w:rPr>
        <w:fldChar w:fldCharType="separate"/>
      </w:r>
      <w:r>
        <w:rPr>
          <w:rFonts w:hint="eastAsia" w:ascii="Times New Roman" w:hAnsi="Times New Roman" w:eastAsia="黑体"/>
          <w:bCs w:val="0"/>
          <w:szCs w:val="24"/>
          <w:lang w:val="en-US" w:eastAsia="zh-CN"/>
        </w:rPr>
        <w:t>8</w:t>
      </w:r>
      <w:r>
        <w:rPr>
          <w:rFonts w:hint="eastAsia" w:ascii="Times New Roman" w:hAnsi="Times New Roman" w:eastAsia="黑体"/>
          <w:bCs w:val="0"/>
          <w:szCs w:val="24"/>
        </w:rPr>
        <w:t xml:space="preserve"> </w:t>
      </w:r>
      <w:r>
        <w:rPr>
          <w:rFonts w:hint="eastAsia" w:ascii="Times New Roman" w:hAnsi="Times New Roman" w:eastAsia="黑体"/>
          <w:bCs w:val="0"/>
          <w:szCs w:val="24"/>
          <w:lang w:val="en-US" w:eastAsia="zh-CN"/>
        </w:rPr>
        <w:t xml:space="preserve"> 综合利用要求</w:t>
      </w:r>
      <w:r>
        <w:tab/>
      </w:r>
      <w:r>
        <w:fldChar w:fldCharType="begin"/>
      </w:r>
      <w:r>
        <w:instrText xml:space="preserve"> PAGEREF _Toc205 </w:instrText>
      </w:r>
      <w:r>
        <w:fldChar w:fldCharType="separate"/>
      </w:r>
      <w:r>
        <w:t>8</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_Toc4936 </w:instrText>
      </w:r>
      <w:r>
        <w:rPr>
          <w:rFonts w:hint="eastAsia" w:ascii="宋体" w:hAnsi="宋体" w:eastAsia="宋体" w:cs="宋体"/>
          <w:szCs w:val="24"/>
        </w:rPr>
        <w:fldChar w:fldCharType="separate"/>
      </w:r>
      <w:r>
        <w:rPr>
          <w:rFonts w:hint="eastAsia" w:ascii="Times New Roman" w:hAnsi="Times New Roman" w:eastAsia="黑体"/>
          <w:bCs w:val="0"/>
          <w:szCs w:val="24"/>
          <w:lang w:val="en-US" w:eastAsia="zh-CN"/>
        </w:rPr>
        <w:t>9</w:t>
      </w:r>
      <w:r>
        <w:rPr>
          <w:rFonts w:hint="eastAsia" w:ascii="Times New Roman" w:hAnsi="Times New Roman" w:eastAsia="黑体"/>
          <w:bCs w:val="0"/>
          <w:szCs w:val="24"/>
        </w:rPr>
        <w:t xml:space="preserve"> </w:t>
      </w:r>
      <w:r>
        <w:rPr>
          <w:rFonts w:hint="eastAsia" w:ascii="Times New Roman" w:hAnsi="Times New Roman" w:eastAsia="黑体"/>
          <w:bCs w:val="0"/>
          <w:szCs w:val="24"/>
          <w:lang w:val="en-US" w:eastAsia="zh-CN"/>
        </w:rPr>
        <w:t xml:space="preserve"> 库存盘点要求</w:t>
      </w:r>
      <w:r>
        <w:tab/>
      </w:r>
      <w:r>
        <w:fldChar w:fldCharType="begin"/>
      </w:r>
      <w:r>
        <w:instrText xml:space="preserve"> PAGEREF _Toc4936 </w:instrText>
      </w:r>
      <w:r>
        <w:fldChar w:fldCharType="separate"/>
      </w:r>
      <w:r>
        <w:t>9</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_Toc6772 </w:instrText>
      </w:r>
      <w:r>
        <w:rPr>
          <w:rFonts w:hint="eastAsia" w:ascii="宋体" w:hAnsi="宋体" w:eastAsia="宋体" w:cs="宋体"/>
          <w:szCs w:val="24"/>
        </w:rPr>
        <w:fldChar w:fldCharType="separate"/>
      </w:r>
      <w:r>
        <w:rPr>
          <w:rFonts w:hint="eastAsia" w:ascii="Times New Roman" w:hAnsi="Times New Roman" w:eastAsia="黑体"/>
          <w:bCs w:val="0"/>
          <w:szCs w:val="24"/>
          <w:lang w:val="en-US" w:eastAsia="zh-CN"/>
        </w:rPr>
        <w:t xml:space="preserve">10 </w:t>
      </w:r>
      <w:r>
        <w:rPr>
          <w:rFonts w:hint="eastAsia" w:ascii="Times New Roman" w:hAnsi="Times New Roman" w:eastAsia="黑体"/>
          <w:bCs w:val="0"/>
          <w:szCs w:val="24"/>
        </w:rPr>
        <w:t xml:space="preserve"> </w:t>
      </w:r>
      <w:r>
        <w:rPr>
          <w:rFonts w:hint="eastAsia" w:ascii="Times New Roman" w:hAnsi="Times New Roman" w:eastAsia="黑体"/>
          <w:bCs w:val="0"/>
          <w:szCs w:val="24"/>
          <w:lang w:val="en-US" w:eastAsia="zh-CN"/>
        </w:rPr>
        <w:t>职业健康与安全生产要求</w:t>
      </w:r>
      <w:r>
        <w:tab/>
      </w:r>
      <w:r>
        <w:fldChar w:fldCharType="begin"/>
      </w:r>
      <w:r>
        <w:instrText xml:space="preserve"> PAGEREF _Toc6772 </w:instrText>
      </w:r>
      <w:r>
        <w:fldChar w:fldCharType="separate"/>
      </w:r>
      <w:r>
        <w:t>9</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_Toc6658 </w:instrText>
      </w:r>
      <w:r>
        <w:rPr>
          <w:rFonts w:hint="eastAsia" w:ascii="宋体" w:hAnsi="宋体" w:eastAsia="宋体" w:cs="宋体"/>
          <w:szCs w:val="24"/>
        </w:rPr>
        <w:fldChar w:fldCharType="separate"/>
      </w:r>
      <w:r>
        <w:rPr>
          <w:rFonts w:hint="eastAsia" w:ascii="Times New Roman" w:hAnsi="Times New Roman" w:eastAsia="黑体"/>
          <w:bCs w:val="0"/>
          <w:szCs w:val="24"/>
          <w:lang w:val="en-US" w:eastAsia="zh-CN"/>
        </w:rPr>
        <w:t>11</w:t>
      </w:r>
      <w:r>
        <w:rPr>
          <w:rFonts w:hint="eastAsia" w:ascii="Times New Roman" w:hAnsi="Times New Roman" w:eastAsia="黑体"/>
          <w:bCs w:val="0"/>
          <w:szCs w:val="24"/>
        </w:rPr>
        <w:t xml:space="preserve"> </w:t>
      </w:r>
      <w:r>
        <w:rPr>
          <w:rFonts w:hint="eastAsia" w:ascii="Times New Roman" w:hAnsi="Times New Roman" w:eastAsia="黑体"/>
          <w:bCs w:val="0"/>
          <w:szCs w:val="24"/>
          <w:lang w:val="en-US" w:eastAsia="zh-CN"/>
        </w:rPr>
        <w:t xml:space="preserve"> 环境保护及污染防治要求</w:t>
      </w:r>
      <w:r>
        <w:tab/>
      </w:r>
      <w:r>
        <w:fldChar w:fldCharType="begin"/>
      </w:r>
      <w:r>
        <w:instrText xml:space="preserve"> PAGEREF _Toc6658 </w:instrText>
      </w:r>
      <w:r>
        <w:fldChar w:fldCharType="separate"/>
      </w:r>
      <w:r>
        <w:t>9</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_Toc10581 </w:instrText>
      </w:r>
      <w:r>
        <w:rPr>
          <w:rFonts w:hint="eastAsia" w:ascii="宋体" w:hAnsi="宋体" w:eastAsia="宋体" w:cs="宋体"/>
          <w:szCs w:val="24"/>
        </w:rPr>
        <w:fldChar w:fldCharType="separate"/>
      </w:r>
      <w:r>
        <w:rPr>
          <w:rFonts w:hint="eastAsia" w:ascii="Times New Roman" w:hAnsi="Times New Roman" w:eastAsia="黑体"/>
          <w:bCs w:val="0"/>
          <w:szCs w:val="24"/>
          <w:lang w:val="en-US" w:eastAsia="zh-CN"/>
        </w:rPr>
        <w:t>12</w:t>
      </w:r>
      <w:r>
        <w:rPr>
          <w:rFonts w:hint="eastAsia" w:ascii="Times New Roman" w:hAnsi="Times New Roman" w:eastAsia="黑体"/>
          <w:bCs w:val="0"/>
          <w:szCs w:val="24"/>
        </w:rPr>
        <w:t xml:space="preserve"> </w:t>
      </w:r>
      <w:r>
        <w:rPr>
          <w:rFonts w:hint="eastAsia" w:ascii="Times New Roman" w:hAnsi="Times New Roman" w:eastAsia="黑体"/>
          <w:bCs w:val="0"/>
          <w:szCs w:val="24"/>
          <w:lang w:val="en-US" w:eastAsia="zh-CN"/>
        </w:rPr>
        <w:t xml:space="preserve"> 标准化管理体系建设要求</w:t>
      </w:r>
      <w:r>
        <w:tab/>
      </w:r>
      <w:r>
        <w:fldChar w:fldCharType="begin"/>
      </w:r>
      <w:r>
        <w:instrText xml:space="preserve"> PAGEREF _Toc10581 </w:instrText>
      </w:r>
      <w:r>
        <w:fldChar w:fldCharType="separate"/>
      </w:r>
      <w:r>
        <w:t>9</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_Toc10712 </w:instrText>
      </w:r>
      <w:r>
        <w:rPr>
          <w:rFonts w:hint="eastAsia" w:ascii="宋体" w:hAnsi="宋体" w:eastAsia="宋体" w:cs="宋体"/>
          <w:szCs w:val="24"/>
        </w:rPr>
        <w:fldChar w:fldCharType="separate"/>
      </w:r>
      <w:r>
        <w:rPr>
          <w:rFonts w:hint="eastAsia" w:ascii="Times New Roman" w:hAnsi="Times New Roman" w:eastAsia="黑体"/>
          <w:bCs w:val="0"/>
          <w:szCs w:val="24"/>
          <w:lang w:val="en-US" w:eastAsia="zh-CN"/>
        </w:rPr>
        <w:t>13</w:t>
      </w:r>
      <w:r>
        <w:rPr>
          <w:rFonts w:hint="eastAsia" w:ascii="Times New Roman" w:hAnsi="Times New Roman" w:eastAsia="黑体"/>
          <w:bCs w:val="0"/>
          <w:szCs w:val="24"/>
        </w:rPr>
        <w:t xml:space="preserve"> </w:t>
      </w:r>
      <w:r>
        <w:rPr>
          <w:rFonts w:hint="eastAsia" w:ascii="Times New Roman" w:hAnsi="Times New Roman" w:eastAsia="黑体"/>
          <w:bCs w:val="0"/>
          <w:szCs w:val="24"/>
          <w:lang w:val="en-US" w:eastAsia="zh-CN"/>
        </w:rPr>
        <w:t xml:space="preserve"> 现场核查</w:t>
      </w:r>
      <w:r>
        <w:tab/>
      </w:r>
      <w:r>
        <w:fldChar w:fldCharType="begin"/>
      </w:r>
      <w:r>
        <w:instrText xml:space="preserve"> PAGEREF _Toc10712 </w:instrText>
      </w:r>
      <w:r>
        <w:fldChar w:fldCharType="separate"/>
      </w:r>
      <w:r>
        <w:t>9</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_Toc21383 </w:instrText>
      </w:r>
      <w:r>
        <w:rPr>
          <w:rFonts w:hint="eastAsia" w:ascii="宋体" w:hAnsi="宋体" w:eastAsia="宋体" w:cs="宋体"/>
          <w:szCs w:val="24"/>
        </w:rPr>
        <w:fldChar w:fldCharType="separate"/>
      </w:r>
      <w:r>
        <w:rPr>
          <w:rFonts w:hint="eastAsia" w:ascii="Times New Roman" w:hAnsi="Times New Roman" w:eastAsia="黑体"/>
          <w:bCs w:val="0"/>
          <w:szCs w:val="24"/>
          <w:lang w:val="en-US" w:eastAsia="zh-CN"/>
        </w:rPr>
        <w:t>14</w:t>
      </w:r>
      <w:r>
        <w:rPr>
          <w:rFonts w:hint="eastAsia" w:ascii="Times New Roman" w:hAnsi="Times New Roman" w:eastAsia="黑体"/>
          <w:bCs w:val="0"/>
          <w:szCs w:val="24"/>
        </w:rPr>
        <w:t xml:space="preserve"> </w:t>
      </w:r>
      <w:r>
        <w:rPr>
          <w:rFonts w:hint="eastAsia" w:ascii="Times New Roman" w:hAnsi="Times New Roman" w:eastAsia="黑体"/>
          <w:bCs w:val="0"/>
          <w:szCs w:val="24"/>
          <w:lang w:val="en-US" w:eastAsia="zh-CN"/>
        </w:rPr>
        <w:t xml:space="preserve"> 评价</w:t>
      </w:r>
      <w:r>
        <w:tab/>
      </w:r>
      <w:r>
        <w:fldChar w:fldCharType="begin"/>
      </w:r>
      <w:r>
        <w:instrText xml:space="preserve"> PAGEREF _Toc21383 </w:instrText>
      </w:r>
      <w:r>
        <w:fldChar w:fldCharType="separate"/>
      </w:r>
      <w:r>
        <w:t>10</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_Toc28872 </w:instrText>
      </w:r>
      <w:r>
        <w:rPr>
          <w:rFonts w:hint="eastAsia" w:ascii="宋体" w:hAnsi="宋体" w:eastAsia="宋体" w:cs="宋体"/>
          <w:szCs w:val="24"/>
        </w:rPr>
        <w:fldChar w:fldCharType="separate"/>
      </w:r>
      <w:r>
        <w:rPr>
          <w:rFonts w:hint="eastAsia" w:ascii="Times New Roman" w:hAnsi="Times New Roman" w:eastAsia="黑体" w:cs="Times New Roman"/>
          <w:bCs w:val="0"/>
          <w:szCs w:val="24"/>
          <w:lang w:val="en-US" w:eastAsia="zh-CN"/>
        </w:rPr>
        <w:t>15  附录A</w:t>
      </w:r>
      <w:r>
        <w:tab/>
      </w:r>
      <w:r>
        <w:fldChar w:fldCharType="begin"/>
      </w:r>
      <w:r>
        <w:instrText xml:space="preserve"> PAGEREF _Toc28872 </w:instrText>
      </w:r>
      <w:r>
        <w:fldChar w:fldCharType="separate"/>
      </w:r>
      <w:r>
        <w:t>10</w:t>
      </w:r>
      <w:r>
        <w:fldChar w:fldCharType="end"/>
      </w:r>
      <w:r>
        <w:rPr>
          <w:rFonts w:hint="eastAsia" w:ascii="宋体" w:hAnsi="宋体" w:eastAsia="宋体" w:cs="宋体"/>
          <w:color w:val="auto"/>
          <w:szCs w:val="24"/>
        </w:rPr>
        <w:fldChar w:fldCharType="end"/>
      </w:r>
    </w:p>
    <w:p>
      <w:pPr>
        <w:pStyle w:val="10"/>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_Toc13901 </w:instrText>
      </w:r>
      <w:r>
        <w:rPr>
          <w:rFonts w:hint="eastAsia" w:ascii="宋体" w:hAnsi="宋体" w:eastAsia="宋体" w:cs="宋体"/>
          <w:szCs w:val="24"/>
        </w:rPr>
        <w:fldChar w:fldCharType="separate"/>
      </w:r>
      <w:r>
        <w:rPr>
          <w:rFonts w:hint="eastAsia" w:ascii="Times New Roman" w:hAnsi="Times New Roman" w:eastAsia="黑体"/>
          <w:bCs/>
          <w:szCs w:val="28"/>
        </w:rPr>
        <w:t>四、 试验验证分析综述</w:t>
      </w:r>
      <w:r>
        <w:tab/>
      </w:r>
      <w:r>
        <w:fldChar w:fldCharType="begin"/>
      </w:r>
      <w:r>
        <w:instrText xml:space="preserve"> PAGEREF _Toc13901 </w:instrText>
      </w:r>
      <w:r>
        <w:fldChar w:fldCharType="separate"/>
      </w:r>
      <w:r>
        <w:t>11</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_Toc2390 </w:instrText>
      </w:r>
      <w:r>
        <w:rPr>
          <w:rFonts w:hint="eastAsia" w:ascii="宋体" w:hAnsi="宋体" w:eastAsia="宋体" w:cs="宋体"/>
          <w:szCs w:val="24"/>
        </w:rPr>
        <w:fldChar w:fldCharType="separate"/>
      </w:r>
      <w:r>
        <w:rPr>
          <w:rFonts w:hint="eastAsia" w:ascii="Times New Roman" w:hAnsi="Times New Roman" w:eastAsia="黑体"/>
          <w:bCs w:val="0"/>
          <w:szCs w:val="24"/>
          <w:lang w:val="en-US" w:eastAsia="zh-CN"/>
        </w:rPr>
        <w:t>1  验证对象</w:t>
      </w:r>
      <w:r>
        <w:tab/>
      </w:r>
      <w:r>
        <w:fldChar w:fldCharType="begin"/>
      </w:r>
      <w:r>
        <w:instrText xml:space="preserve"> PAGEREF _Toc2390 </w:instrText>
      </w:r>
      <w:r>
        <w:fldChar w:fldCharType="separate"/>
      </w:r>
      <w:r>
        <w:t>11</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_Toc29475 </w:instrText>
      </w:r>
      <w:r>
        <w:rPr>
          <w:rFonts w:hint="eastAsia" w:ascii="宋体" w:hAnsi="宋体" w:eastAsia="宋体" w:cs="宋体"/>
          <w:szCs w:val="24"/>
        </w:rPr>
        <w:fldChar w:fldCharType="separate"/>
      </w:r>
      <w:r>
        <w:rPr>
          <w:rFonts w:hint="eastAsia" w:ascii="Times New Roman" w:hAnsi="Times New Roman" w:eastAsia="黑体"/>
          <w:bCs w:val="0"/>
          <w:szCs w:val="24"/>
          <w:lang w:val="en-US" w:eastAsia="zh-CN"/>
        </w:rPr>
        <w:t>2  验证结果与分析</w:t>
      </w:r>
      <w:r>
        <w:tab/>
      </w:r>
      <w:r>
        <w:fldChar w:fldCharType="begin"/>
      </w:r>
      <w:r>
        <w:instrText xml:space="preserve"> PAGEREF _Toc29475 </w:instrText>
      </w:r>
      <w:r>
        <w:fldChar w:fldCharType="separate"/>
      </w:r>
      <w:r>
        <w:t>11</w:t>
      </w:r>
      <w:r>
        <w:fldChar w:fldCharType="end"/>
      </w:r>
      <w:r>
        <w:rPr>
          <w:rFonts w:hint="eastAsia" w:ascii="宋体" w:hAnsi="宋体" w:eastAsia="宋体" w:cs="宋体"/>
          <w:color w:val="auto"/>
          <w:szCs w:val="24"/>
        </w:rPr>
        <w:fldChar w:fldCharType="end"/>
      </w:r>
    </w:p>
    <w:p>
      <w:pPr>
        <w:pStyle w:val="12"/>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_Toc25585 </w:instrText>
      </w:r>
      <w:r>
        <w:rPr>
          <w:rFonts w:hint="eastAsia" w:ascii="宋体" w:hAnsi="宋体" w:eastAsia="宋体" w:cs="宋体"/>
          <w:szCs w:val="24"/>
        </w:rPr>
        <w:fldChar w:fldCharType="separate"/>
      </w:r>
      <w:r>
        <w:rPr>
          <w:rFonts w:hint="eastAsia" w:ascii="Times New Roman" w:hAnsi="Times New Roman" w:eastAsia="黑体"/>
          <w:bCs w:val="0"/>
          <w:szCs w:val="24"/>
          <w:lang w:val="en-US" w:eastAsia="zh-CN"/>
        </w:rPr>
        <w:t>3  验证总结</w:t>
      </w:r>
      <w:r>
        <w:tab/>
      </w:r>
      <w:r>
        <w:fldChar w:fldCharType="begin"/>
      </w:r>
      <w:r>
        <w:instrText xml:space="preserve"> PAGEREF _Toc25585 </w:instrText>
      </w:r>
      <w:r>
        <w:fldChar w:fldCharType="separate"/>
      </w:r>
      <w:r>
        <w:t>12</w:t>
      </w:r>
      <w:r>
        <w:fldChar w:fldCharType="end"/>
      </w:r>
      <w:r>
        <w:rPr>
          <w:rFonts w:hint="eastAsia" w:ascii="宋体" w:hAnsi="宋体" w:eastAsia="宋体" w:cs="宋体"/>
          <w:color w:val="auto"/>
          <w:szCs w:val="24"/>
        </w:rPr>
        <w:fldChar w:fldCharType="end"/>
      </w:r>
    </w:p>
    <w:p>
      <w:pPr>
        <w:pStyle w:val="10"/>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_Toc16920 </w:instrText>
      </w:r>
      <w:r>
        <w:rPr>
          <w:rFonts w:hint="eastAsia" w:ascii="宋体" w:hAnsi="宋体" w:eastAsia="宋体" w:cs="宋体"/>
          <w:szCs w:val="24"/>
        </w:rPr>
        <w:fldChar w:fldCharType="separate"/>
      </w:r>
      <w:r>
        <w:rPr>
          <w:rFonts w:hint="eastAsia" w:ascii="Times New Roman" w:hAnsi="Times New Roman" w:eastAsia="黑体"/>
          <w:bCs/>
          <w:szCs w:val="28"/>
          <w:lang w:val="en-US" w:eastAsia="zh-CN"/>
        </w:rPr>
        <w:t>五、</w:t>
      </w:r>
      <w:r>
        <w:rPr>
          <w:rFonts w:hint="eastAsia" w:ascii="Times New Roman" w:hAnsi="Times New Roman" w:eastAsia="黑体"/>
          <w:bCs/>
          <w:szCs w:val="28"/>
        </w:rPr>
        <w:t>标准中涉及专利情况说明</w:t>
      </w:r>
      <w:r>
        <w:tab/>
      </w:r>
      <w:r>
        <w:fldChar w:fldCharType="begin"/>
      </w:r>
      <w:r>
        <w:instrText xml:space="preserve"> PAGEREF _Toc16920 </w:instrText>
      </w:r>
      <w:r>
        <w:fldChar w:fldCharType="separate"/>
      </w:r>
      <w:r>
        <w:t>12</w:t>
      </w:r>
      <w:r>
        <w:fldChar w:fldCharType="end"/>
      </w:r>
      <w:r>
        <w:rPr>
          <w:rFonts w:hint="eastAsia" w:ascii="宋体" w:hAnsi="宋体" w:eastAsia="宋体" w:cs="宋体"/>
          <w:color w:val="auto"/>
          <w:szCs w:val="24"/>
        </w:rPr>
        <w:fldChar w:fldCharType="end"/>
      </w:r>
    </w:p>
    <w:p>
      <w:pPr>
        <w:pStyle w:val="10"/>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_Toc9312 </w:instrText>
      </w:r>
      <w:r>
        <w:rPr>
          <w:rFonts w:hint="eastAsia" w:ascii="宋体" w:hAnsi="宋体" w:eastAsia="宋体" w:cs="宋体"/>
          <w:szCs w:val="24"/>
        </w:rPr>
        <w:fldChar w:fldCharType="separate"/>
      </w:r>
      <w:r>
        <w:rPr>
          <w:rFonts w:hint="eastAsia" w:ascii="Times New Roman" w:hAnsi="Times New Roman" w:eastAsia="黑体"/>
          <w:bCs/>
          <w:szCs w:val="28"/>
          <w:lang w:val="en-US" w:eastAsia="zh-CN"/>
        </w:rPr>
        <w:t>六、</w:t>
      </w:r>
      <w:r>
        <w:rPr>
          <w:rFonts w:hint="eastAsia" w:ascii="Times New Roman" w:hAnsi="Times New Roman" w:eastAsia="黑体"/>
          <w:bCs/>
          <w:szCs w:val="28"/>
          <w:lang w:val="pt-PT" w:eastAsia="zh-CN"/>
        </w:rPr>
        <w:t>采用国际标准和国外先进标准的情况</w:t>
      </w:r>
      <w:r>
        <w:tab/>
      </w:r>
      <w:r>
        <w:fldChar w:fldCharType="begin"/>
      </w:r>
      <w:r>
        <w:instrText xml:space="preserve"> PAGEREF _Toc9312 </w:instrText>
      </w:r>
      <w:r>
        <w:fldChar w:fldCharType="separate"/>
      </w:r>
      <w:r>
        <w:t>12</w:t>
      </w:r>
      <w:r>
        <w:fldChar w:fldCharType="end"/>
      </w:r>
      <w:r>
        <w:rPr>
          <w:rFonts w:hint="eastAsia" w:ascii="宋体" w:hAnsi="宋体" w:eastAsia="宋体" w:cs="宋体"/>
          <w:color w:val="auto"/>
          <w:szCs w:val="24"/>
        </w:rPr>
        <w:fldChar w:fldCharType="end"/>
      </w:r>
    </w:p>
    <w:p>
      <w:pPr>
        <w:pStyle w:val="10"/>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_Toc7169 </w:instrText>
      </w:r>
      <w:r>
        <w:rPr>
          <w:rFonts w:hint="eastAsia" w:ascii="宋体" w:hAnsi="宋体" w:eastAsia="宋体" w:cs="宋体"/>
          <w:szCs w:val="24"/>
        </w:rPr>
        <w:fldChar w:fldCharType="separate"/>
      </w:r>
      <w:r>
        <w:rPr>
          <w:rFonts w:hint="eastAsia" w:ascii="Times New Roman" w:hAnsi="Times New Roman" w:eastAsia="黑体"/>
          <w:bCs/>
          <w:szCs w:val="28"/>
          <w:lang w:val="en-US" w:eastAsia="zh-CN"/>
        </w:rPr>
        <w:t>七、</w:t>
      </w:r>
      <w:r>
        <w:rPr>
          <w:rFonts w:hint="eastAsia" w:ascii="Times New Roman" w:hAnsi="Times New Roman" w:eastAsia="黑体"/>
          <w:bCs/>
          <w:szCs w:val="28"/>
        </w:rPr>
        <w:t>产业化和预期达到的经济效果等情况</w:t>
      </w:r>
      <w:r>
        <w:tab/>
      </w:r>
      <w:r>
        <w:fldChar w:fldCharType="begin"/>
      </w:r>
      <w:r>
        <w:instrText xml:space="preserve"> PAGEREF _Toc7169 </w:instrText>
      </w:r>
      <w:r>
        <w:fldChar w:fldCharType="separate"/>
      </w:r>
      <w:r>
        <w:t>12</w:t>
      </w:r>
      <w:r>
        <w:fldChar w:fldCharType="end"/>
      </w:r>
      <w:r>
        <w:rPr>
          <w:rFonts w:hint="eastAsia" w:ascii="宋体" w:hAnsi="宋体" w:eastAsia="宋体" w:cs="宋体"/>
          <w:color w:val="auto"/>
          <w:szCs w:val="24"/>
        </w:rPr>
        <w:fldChar w:fldCharType="end"/>
      </w:r>
    </w:p>
    <w:p>
      <w:pPr>
        <w:pStyle w:val="10"/>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_Toc23461 </w:instrText>
      </w:r>
      <w:r>
        <w:rPr>
          <w:rFonts w:hint="eastAsia" w:ascii="宋体" w:hAnsi="宋体" w:eastAsia="宋体" w:cs="宋体"/>
          <w:szCs w:val="24"/>
        </w:rPr>
        <w:fldChar w:fldCharType="separate"/>
      </w:r>
      <w:r>
        <w:rPr>
          <w:rFonts w:hint="eastAsia" w:ascii="Times New Roman" w:hAnsi="Times New Roman" w:eastAsia="黑体"/>
          <w:bCs/>
          <w:szCs w:val="28"/>
          <w:lang w:val="en-US" w:eastAsia="zh-CN"/>
        </w:rPr>
        <w:t>九、</w:t>
      </w:r>
      <w:r>
        <w:rPr>
          <w:rFonts w:hint="eastAsia" w:ascii="Times New Roman" w:hAnsi="Times New Roman" w:eastAsia="黑体"/>
          <w:bCs/>
          <w:szCs w:val="28"/>
        </w:rPr>
        <w:t>重大分歧意见的处理经过和依据</w:t>
      </w:r>
      <w:r>
        <w:tab/>
      </w:r>
      <w:r>
        <w:fldChar w:fldCharType="begin"/>
      </w:r>
      <w:r>
        <w:instrText xml:space="preserve"> PAGEREF _Toc23461 </w:instrText>
      </w:r>
      <w:r>
        <w:fldChar w:fldCharType="separate"/>
      </w:r>
      <w:r>
        <w:t>14</w:t>
      </w:r>
      <w:r>
        <w:fldChar w:fldCharType="end"/>
      </w:r>
      <w:r>
        <w:rPr>
          <w:rFonts w:hint="eastAsia" w:ascii="宋体" w:hAnsi="宋体" w:eastAsia="宋体" w:cs="宋体"/>
          <w:color w:val="auto"/>
          <w:szCs w:val="24"/>
        </w:rPr>
        <w:fldChar w:fldCharType="end"/>
      </w:r>
    </w:p>
    <w:p>
      <w:pPr>
        <w:pStyle w:val="10"/>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_Toc25423 </w:instrText>
      </w:r>
      <w:r>
        <w:rPr>
          <w:rFonts w:hint="eastAsia" w:ascii="宋体" w:hAnsi="宋体" w:eastAsia="宋体" w:cs="宋体"/>
          <w:szCs w:val="24"/>
        </w:rPr>
        <w:fldChar w:fldCharType="separate"/>
      </w:r>
      <w:r>
        <w:rPr>
          <w:rFonts w:hint="eastAsia" w:ascii="Times New Roman" w:hAnsi="Times New Roman" w:eastAsia="黑体"/>
          <w:bCs/>
          <w:szCs w:val="28"/>
          <w:lang w:val="en-US" w:eastAsia="zh-CN"/>
        </w:rPr>
        <w:t>十、</w:t>
      </w:r>
      <w:r>
        <w:rPr>
          <w:rFonts w:hint="eastAsia" w:ascii="Times New Roman" w:hAnsi="Times New Roman" w:eastAsia="黑体"/>
          <w:bCs/>
          <w:szCs w:val="28"/>
        </w:rPr>
        <w:t>标准性质的建议说明</w:t>
      </w:r>
      <w:r>
        <w:tab/>
      </w:r>
      <w:r>
        <w:fldChar w:fldCharType="begin"/>
      </w:r>
      <w:r>
        <w:instrText xml:space="preserve"> PAGEREF _Toc25423 </w:instrText>
      </w:r>
      <w:r>
        <w:fldChar w:fldCharType="separate"/>
      </w:r>
      <w:r>
        <w:t>14</w:t>
      </w:r>
      <w:r>
        <w:fldChar w:fldCharType="end"/>
      </w:r>
      <w:r>
        <w:rPr>
          <w:rFonts w:hint="eastAsia" w:ascii="宋体" w:hAnsi="宋体" w:eastAsia="宋体" w:cs="宋体"/>
          <w:color w:val="auto"/>
          <w:szCs w:val="24"/>
        </w:rPr>
        <w:fldChar w:fldCharType="end"/>
      </w:r>
    </w:p>
    <w:p>
      <w:pPr>
        <w:pStyle w:val="10"/>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_Toc2561 </w:instrText>
      </w:r>
      <w:r>
        <w:rPr>
          <w:rFonts w:hint="eastAsia" w:ascii="宋体" w:hAnsi="宋体" w:eastAsia="宋体" w:cs="宋体"/>
          <w:szCs w:val="24"/>
        </w:rPr>
        <w:fldChar w:fldCharType="separate"/>
      </w:r>
      <w:r>
        <w:rPr>
          <w:rFonts w:hint="eastAsia" w:ascii="Times New Roman" w:hAnsi="Times New Roman" w:eastAsia="黑体"/>
          <w:bCs/>
          <w:szCs w:val="28"/>
          <w:lang w:val="en-US" w:eastAsia="zh-CN"/>
        </w:rPr>
        <w:t>十一、</w:t>
      </w:r>
      <w:r>
        <w:rPr>
          <w:rFonts w:hint="eastAsia" w:ascii="Times New Roman" w:hAnsi="Times New Roman" w:eastAsia="黑体"/>
          <w:bCs/>
          <w:szCs w:val="28"/>
        </w:rPr>
        <w:t>贯彻标准的要求和措施建议</w:t>
      </w:r>
      <w:r>
        <w:tab/>
      </w:r>
      <w:r>
        <w:fldChar w:fldCharType="begin"/>
      </w:r>
      <w:r>
        <w:instrText xml:space="preserve"> PAGEREF _Toc2561 </w:instrText>
      </w:r>
      <w:r>
        <w:fldChar w:fldCharType="separate"/>
      </w:r>
      <w:r>
        <w:t>15</w:t>
      </w:r>
      <w:r>
        <w:fldChar w:fldCharType="end"/>
      </w:r>
      <w:r>
        <w:rPr>
          <w:rFonts w:hint="eastAsia" w:ascii="宋体" w:hAnsi="宋体" w:eastAsia="宋体" w:cs="宋体"/>
          <w:color w:val="auto"/>
          <w:szCs w:val="24"/>
        </w:rPr>
        <w:fldChar w:fldCharType="end"/>
      </w:r>
    </w:p>
    <w:p>
      <w:pPr>
        <w:pStyle w:val="10"/>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_Toc26763 </w:instrText>
      </w:r>
      <w:r>
        <w:rPr>
          <w:rFonts w:hint="eastAsia" w:ascii="宋体" w:hAnsi="宋体" w:eastAsia="宋体" w:cs="宋体"/>
          <w:szCs w:val="24"/>
        </w:rPr>
        <w:fldChar w:fldCharType="separate"/>
      </w:r>
      <w:r>
        <w:rPr>
          <w:rFonts w:hint="eastAsia" w:ascii="Times New Roman" w:hAnsi="Times New Roman" w:eastAsia="黑体"/>
          <w:bCs/>
          <w:szCs w:val="28"/>
          <w:lang w:val="en-US" w:eastAsia="zh-CN"/>
        </w:rPr>
        <w:t>十二、</w:t>
      </w:r>
      <w:r>
        <w:rPr>
          <w:rFonts w:hint="eastAsia" w:ascii="Times New Roman" w:hAnsi="Times New Roman" w:eastAsia="黑体"/>
          <w:bCs/>
          <w:szCs w:val="28"/>
        </w:rPr>
        <w:t>废止现行相关标准的建议</w:t>
      </w:r>
      <w:r>
        <w:tab/>
      </w:r>
      <w:r>
        <w:fldChar w:fldCharType="begin"/>
      </w:r>
      <w:r>
        <w:instrText xml:space="preserve"> PAGEREF _Toc26763 </w:instrText>
      </w:r>
      <w:r>
        <w:fldChar w:fldCharType="separate"/>
      </w:r>
      <w:r>
        <w:t>15</w:t>
      </w:r>
      <w:r>
        <w:fldChar w:fldCharType="end"/>
      </w:r>
      <w:r>
        <w:rPr>
          <w:rFonts w:hint="eastAsia" w:ascii="宋体" w:hAnsi="宋体" w:eastAsia="宋体" w:cs="宋体"/>
          <w:color w:val="auto"/>
          <w:szCs w:val="24"/>
        </w:rPr>
        <w:fldChar w:fldCharType="end"/>
      </w:r>
    </w:p>
    <w:p>
      <w:pPr>
        <w:pStyle w:val="10"/>
        <w:tabs>
          <w:tab w:val="right" w:leader="dot" w:pos="8312"/>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_Toc29175 </w:instrText>
      </w:r>
      <w:r>
        <w:rPr>
          <w:rFonts w:hint="eastAsia" w:ascii="宋体" w:hAnsi="宋体" w:eastAsia="宋体" w:cs="宋体"/>
          <w:szCs w:val="24"/>
        </w:rPr>
        <w:fldChar w:fldCharType="separate"/>
      </w:r>
      <w:r>
        <w:rPr>
          <w:rFonts w:hint="eastAsia" w:ascii="Times New Roman" w:hAnsi="Times New Roman" w:eastAsia="黑体"/>
          <w:bCs/>
          <w:szCs w:val="28"/>
          <w:lang w:val="en-US" w:eastAsia="zh-CN"/>
        </w:rPr>
        <w:t>十三、</w:t>
      </w:r>
      <w:r>
        <w:rPr>
          <w:rFonts w:hint="eastAsia" w:ascii="Times New Roman" w:hAnsi="Times New Roman" w:eastAsia="黑体"/>
          <w:bCs/>
          <w:szCs w:val="28"/>
        </w:rPr>
        <w:t>其它应予说明的事项</w:t>
      </w:r>
      <w:r>
        <w:tab/>
      </w:r>
      <w:r>
        <w:fldChar w:fldCharType="begin"/>
      </w:r>
      <w:r>
        <w:instrText xml:space="preserve"> PAGEREF _Toc29175 </w:instrText>
      </w:r>
      <w:r>
        <w:fldChar w:fldCharType="separate"/>
      </w:r>
      <w:r>
        <w:t>15</w:t>
      </w:r>
      <w:r>
        <w:fldChar w:fldCharType="end"/>
      </w:r>
      <w:r>
        <w:rPr>
          <w:rFonts w:hint="eastAsia" w:ascii="宋体" w:hAnsi="宋体" w:eastAsia="宋体" w:cs="宋体"/>
          <w:color w:val="auto"/>
          <w:szCs w:val="24"/>
        </w:rPr>
        <w:fldChar w:fldCharType="end"/>
      </w:r>
    </w:p>
    <w:p>
      <w:pPr>
        <w:pageBreakBefore w:val="0"/>
        <w:kinsoku/>
        <w:wordWrap/>
        <w:overflowPunct/>
        <w:topLinePunct w:val="0"/>
        <w:bidi w:val="0"/>
        <w:adjustRightInd/>
        <w:snapToGrid/>
        <w:spacing w:before="0" w:beforeLines="0" w:after="0" w:afterLines="0" w:line="360" w:lineRule="auto"/>
        <w:ind w:left="0" w:leftChars="0" w:right="0" w:rightChars="0" w:firstLine="0" w:firstLineChars="0"/>
        <w:jc w:val="center"/>
        <w:textAlignment w:val="auto"/>
        <w:rPr>
          <w:rFonts w:hint="eastAsia" w:ascii="宋体" w:hAnsi="宋体" w:eastAsia="宋体" w:cs="宋体"/>
          <w:color w:val="auto"/>
          <w:sz w:val="24"/>
          <w:szCs w:val="24"/>
        </w:rPr>
        <w:sectPr>
          <w:headerReference r:id="rId3" w:type="default"/>
          <w:footerReference r:id="rId4" w:type="default"/>
          <w:footerReference r:id="rId5" w:type="even"/>
          <w:type w:val="continuous"/>
          <w:pgSz w:w="11906" w:h="16838"/>
          <w:pgMar w:top="1440" w:right="1797" w:bottom="1440" w:left="1797" w:header="851" w:footer="992" w:gutter="0"/>
          <w:pgNumType w:fmt="decimal" w:start="0"/>
          <w:cols w:space="720" w:num="1"/>
          <w:titlePg/>
          <w:docGrid w:type="lines" w:linePitch="312" w:charSpace="0"/>
        </w:sectPr>
      </w:pPr>
      <w:r>
        <w:rPr>
          <w:rFonts w:hint="eastAsia" w:ascii="宋体" w:hAnsi="宋体" w:eastAsia="宋体" w:cs="宋体"/>
          <w:b/>
          <w:color w:val="auto"/>
          <w:sz w:val="24"/>
          <w:szCs w:val="24"/>
        </w:rPr>
        <w:fldChar w:fldCharType="end"/>
      </w:r>
      <w:bookmarkStart w:id="0" w:name="_Toc18484890"/>
    </w:p>
    <w:p>
      <w:pPr>
        <w:pageBreakBefore w:val="0"/>
        <w:kinsoku/>
        <w:wordWrap/>
        <w:overflowPunct/>
        <w:topLinePunct w:val="0"/>
        <w:bidi w:val="0"/>
        <w:adjustRightInd/>
        <w:snapToGrid/>
        <w:spacing w:before="0" w:beforeLines="0" w:after="0" w:afterLines="0" w:line="360" w:lineRule="auto"/>
        <w:ind w:left="0" w:leftChars="0" w:right="0" w:rightChars="0" w:firstLine="0" w:firstLineChars="0"/>
        <w:jc w:val="left"/>
        <w:textAlignment w:val="auto"/>
        <w:outlineLvl w:val="0"/>
        <w:rPr>
          <w:rFonts w:hint="eastAsia" w:ascii="黑体" w:hAnsi="黑体" w:eastAsia="黑体" w:cs="黑体"/>
          <w:b/>
          <w:bCs/>
          <w:color w:val="auto"/>
          <w:sz w:val="32"/>
          <w:szCs w:val="32"/>
        </w:rPr>
      </w:pPr>
      <w:bookmarkStart w:id="1" w:name="_Toc13876"/>
      <w:r>
        <w:rPr>
          <w:rFonts w:hint="eastAsia" w:ascii="黑体" w:hAnsi="黑体" w:eastAsia="黑体" w:cs="黑体"/>
          <w:b/>
          <w:bCs/>
          <w:color w:val="auto"/>
          <w:sz w:val="32"/>
          <w:szCs w:val="32"/>
          <w:lang w:val="en-US" w:eastAsia="zh-CN"/>
        </w:rPr>
        <w:t>一、</w:t>
      </w:r>
      <w:r>
        <w:rPr>
          <w:rFonts w:hint="eastAsia" w:ascii="黑体" w:hAnsi="黑体" w:eastAsia="黑体" w:cs="黑体"/>
          <w:b/>
          <w:bCs/>
          <w:color w:val="auto"/>
          <w:sz w:val="28"/>
          <w:szCs w:val="28"/>
        </w:rPr>
        <w:t>工作简况</w:t>
      </w:r>
      <w:bookmarkEnd w:id="0"/>
      <w:bookmarkEnd w:id="1"/>
    </w:p>
    <w:p>
      <w:pPr>
        <w:pStyle w:val="3"/>
        <w:pageBreakBefore w:val="0"/>
        <w:kinsoku/>
        <w:wordWrap/>
        <w:overflowPunct/>
        <w:topLinePunct w:val="0"/>
        <w:bidi w:val="0"/>
        <w:adjustRightInd/>
        <w:snapToGrid/>
        <w:spacing w:line="360" w:lineRule="auto"/>
        <w:textAlignment w:val="auto"/>
        <w:rPr>
          <w:rFonts w:hint="eastAsia" w:ascii="黑体" w:hAnsi="黑体" w:eastAsia="黑体" w:cs="黑体"/>
          <w:b/>
          <w:bCs w:val="0"/>
          <w:color w:val="auto"/>
          <w:sz w:val="24"/>
          <w:szCs w:val="24"/>
        </w:rPr>
      </w:pPr>
      <w:bookmarkStart w:id="2" w:name="_Toc18484891"/>
      <w:bookmarkStart w:id="3" w:name="_Toc32611"/>
      <w:r>
        <w:rPr>
          <w:rFonts w:hint="eastAsia" w:ascii="黑体" w:hAnsi="黑体" w:eastAsia="黑体" w:cs="黑体"/>
          <w:b/>
          <w:bCs w:val="0"/>
          <w:color w:val="auto"/>
          <w:sz w:val="24"/>
          <w:szCs w:val="24"/>
        </w:rPr>
        <w:t>1</w:t>
      </w:r>
      <w:r>
        <w:rPr>
          <w:rFonts w:hint="eastAsia" w:ascii="黑体" w:hAnsi="黑体" w:eastAsia="黑体" w:cs="黑体"/>
          <w:b/>
          <w:bCs w:val="0"/>
          <w:color w:val="auto"/>
          <w:sz w:val="24"/>
          <w:szCs w:val="24"/>
          <w:lang w:val="en-US" w:eastAsia="zh-CN"/>
        </w:rPr>
        <w:t xml:space="preserve">  </w:t>
      </w:r>
      <w:r>
        <w:rPr>
          <w:rFonts w:hint="eastAsia" w:ascii="黑体" w:hAnsi="黑体" w:eastAsia="黑体" w:cs="黑体"/>
          <w:b/>
          <w:bCs w:val="0"/>
          <w:color w:val="auto"/>
          <w:sz w:val="24"/>
          <w:szCs w:val="24"/>
        </w:rPr>
        <w:t>任务来源</w:t>
      </w:r>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进入90年代以来，我国经济发展持续高速增长，但是，传统的高消耗、高排放、低效率的粗放型增长方式使得经济发展与环境资源的矛盾日益尖锐。《中华人民共和国循环经济促进法》</w:t>
      </w:r>
      <w:r>
        <w:rPr>
          <w:rFonts w:hint="eastAsia" w:ascii="宋体" w:hAnsi="宋体" w:eastAsia="宋体" w:cs="宋体"/>
          <w:color w:val="auto"/>
          <w:sz w:val="24"/>
          <w:szCs w:val="24"/>
          <w:lang w:val="en-US" w:eastAsia="zh-CN"/>
        </w:rPr>
        <w:t>的目的就是为了促进循环经济发展，提高资源利用效率，保护和改善环境，实现可持续发展。</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国务院循环经济发展综合管理和生态环境等有关主管部门通过建立健全循环经济标准体系，制定和完善节能、节水、节材和废物再利用、资源化等标准，</w:t>
      </w:r>
      <w:r>
        <w:rPr>
          <w:rFonts w:hint="eastAsia" w:ascii="宋体" w:hAnsi="宋体" w:eastAsia="宋体" w:cs="宋体"/>
          <w:color w:val="auto"/>
          <w:sz w:val="24"/>
          <w:szCs w:val="24"/>
        </w:rPr>
        <w:t>突破了工业固废综合利用技术，生产者责任延伸制度在</w:t>
      </w:r>
      <w:r>
        <w:rPr>
          <w:rFonts w:hint="eastAsia" w:ascii="宋体" w:hAnsi="宋体" w:eastAsia="宋体" w:cs="宋体"/>
          <w:color w:val="auto"/>
          <w:sz w:val="24"/>
          <w:szCs w:val="24"/>
          <w:lang w:val="en-US" w:eastAsia="zh-CN"/>
        </w:rPr>
        <w:t>建材行业</w:t>
      </w:r>
      <w:r>
        <w:rPr>
          <w:rFonts w:hint="eastAsia" w:ascii="宋体" w:hAnsi="宋体" w:eastAsia="宋体" w:cs="宋体"/>
          <w:color w:val="auto"/>
          <w:sz w:val="24"/>
          <w:szCs w:val="24"/>
        </w:rPr>
        <w:t>得以实施，涌现出一批从事</w:t>
      </w:r>
      <w:r>
        <w:rPr>
          <w:rFonts w:hint="eastAsia" w:ascii="宋体" w:hAnsi="宋体" w:eastAsia="宋体" w:cs="宋体"/>
          <w:color w:val="auto"/>
          <w:sz w:val="24"/>
          <w:szCs w:val="24"/>
          <w:lang w:val="en-US" w:eastAsia="zh-CN"/>
        </w:rPr>
        <w:t>工业固体废物综合利用的建材</w:t>
      </w:r>
      <w:r>
        <w:rPr>
          <w:rFonts w:hint="eastAsia" w:ascii="宋体" w:hAnsi="宋体" w:eastAsia="宋体" w:cs="宋体"/>
          <w:color w:val="auto"/>
          <w:sz w:val="24"/>
          <w:szCs w:val="24"/>
        </w:rPr>
        <w:t>企业，循环经济标准化等试点与示范工作</w:t>
      </w:r>
      <w:r>
        <w:rPr>
          <w:rFonts w:hint="eastAsia" w:ascii="宋体" w:hAnsi="宋体" w:eastAsia="宋体" w:cs="宋体"/>
          <w:color w:val="auto"/>
          <w:sz w:val="24"/>
          <w:szCs w:val="24"/>
          <w:lang w:val="en-US" w:eastAsia="zh-CN"/>
        </w:rPr>
        <w:t>得到</w:t>
      </w:r>
      <w:r>
        <w:rPr>
          <w:rFonts w:hint="eastAsia" w:ascii="宋体" w:hAnsi="宋体" w:eastAsia="宋体" w:cs="宋体"/>
          <w:color w:val="auto"/>
          <w:sz w:val="24"/>
          <w:szCs w:val="24"/>
        </w:rPr>
        <w:t>稳步推进。</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2015年6月12日，财政部、国家税务总局发布《资源综合利用产品和劳务增值税优惠目录》</w:t>
      </w:r>
      <w:r>
        <w:rPr>
          <w:rFonts w:hint="eastAsia" w:ascii="宋体" w:hAnsi="宋体" w:eastAsia="宋体" w:cs="宋体"/>
          <w:color w:val="auto"/>
          <w:sz w:val="24"/>
          <w:szCs w:val="24"/>
          <w:lang w:eastAsia="zh-CN"/>
        </w:rPr>
        <w:t>（财税〔2015〕78号）</w:t>
      </w:r>
      <w:r>
        <w:rPr>
          <w:rFonts w:hint="eastAsia" w:ascii="宋体" w:hAnsi="宋体" w:eastAsia="宋体" w:cs="宋体"/>
          <w:color w:val="auto"/>
          <w:sz w:val="24"/>
          <w:szCs w:val="24"/>
        </w:rPr>
        <w:t>，将近年来发布的《财政部 国家税务总局关于资源综合利用及其他产品增值税政策的通知》（财税〔2008〕156号）、《财政部、国家税务总局关于资源综合利用及其他产品增值税政策的补充的通知》(财税〔2009〕163号)、《财政部、国家税务总局关于调整完善资源综合利用及劳务增值税政策的通知》(财税〔2011〕115号)、《财政部、国家税务总局关于享受资源综合利用增值税优惠政策的纳税人执行污染物排放标准的通知》(财税〔2013〕23号)进行整</w:t>
      </w:r>
      <w:r>
        <w:rPr>
          <w:rFonts w:hint="eastAsia" w:ascii="宋体" w:hAnsi="宋体" w:cs="宋体"/>
          <w:color w:val="auto"/>
          <w:sz w:val="24"/>
          <w:szCs w:val="24"/>
          <w:lang w:eastAsia="zh-CN"/>
        </w:rPr>
        <w:t>合</w:t>
      </w:r>
      <w:r>
        <w:rPr>
          <w:rFonts w:hint="eastAsia" w:ascii="宋体" w:hAnsi="宋体" w:eastAsia="宋体" w:cs="宋体"/>
          <w:color w:val="auto"/>
          <w:sz w:val="24"/>
          <w:szCs w:val="24"/>
        </w:rPr>
        <w:t>，极大地方便了纳税人查阅和使用。采取即征即退政策，与先征后返相比，具有税款返还及时、操作程序简单易行的优点。与免征增值税比较，收入对应成本中耗用进项税额不需转出。但是在实际操作过程中，资源综合利用企业在申请增值税优惠时，还是面临着很多困难</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财政部、国家税务总局发布</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《资源综合利用产品和劳务增值税优惠目录》</w:t>
      </w:r>
      <w:r>
        <w:rPr>
          <w:rFonts w:hint="eastAsia" w:ascii="宋体" w:hAnsi="宋体" w:eastAsia="宋体" w:cs="宋体"/>
          <w:color w:val="auto"/>
          <w:sz w:val="24"/>
          <w:szCs w:val="24"/>
          <w:lang w:eastAsia="zh-CN"/>
        </w:rPr>
        <w:t>对企业应具备的条件只作了原则性规定，不便征纳双方操作，易造成各地执行标准不统一或出现攀比现象，影响政策的权威性。</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与此同时，相关技术标准和条件难以把握。《资源综合利用产品和劳务增值税优惠目录》中对各项优惠内容均规定了应符合相关技术标准和条件，但技术标准具有很强的专业性，基层税务人员因缺乏相关专业知识，难以准确把握和界定。</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财政部、税务总局、生态环境部联合发布《关于环境保护税征收有关问题的通知》明确纳税人对应税固体废物进行综合利用的，应当符合工业和信息化部制定的工业固体废物综合利用评价管理规范。</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2016年7月11日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根据工业和通信业行业标准制修订工作的总体安排，工业和信息化部编制完成了2016年第二批行业标准制修订计划</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印发了</w:t>
      </w:r>
      <w:r>
        <w:rPr>
          <w:rFonts w:hint="eastAsia" w:ascii="宋体" w:hAnsi="宋体" w:eastAsia="宋体" w:cs="宋体"/>
          <w:color w:val="auto"/>
          <w:sz w:val="24"/>
          <w:szCs w:val="24"/>
          <w:lang w:eastAsia="zh-CN"/>
        </w:rPr>
        <w:t>节能与综合利用</w:t>
      </w:r>
      <w:r>
        <w:rPr>
          <w:rFonts w:hint="eastAsia" w:ascii="宋体" w:hAnsi="宋体" w:eastAsia="宋体" w:cs="宋体"/>
          <w:color w:val="auto"/>
          <w:sz w:val="24"/>
          <w:szCs w:val="24"/>
          <w:lang w:val="en-US" w:eastAsia="zh-CN"/>
        </w:rPr>
        <w:t>领域的行业标准《建筑材料生产企业固废物综合利用规范》，计划号：2016-0464T-JC。标准技术委员会或技术归口单位为中国建筑材料联合会，主要起草单位为建筑材料工业技术监督研究中心、中国建材检验认证集团股份有限公司</w:t>
      </w:r>
      <w:r>
        <w:rPr>
          <w:rFonts w:hint="eastAsia" w:ascii="宋体" w:hAnsi="宋体" w:eastAsia="宋体" w:cs="宋体"/>
          <w:color w:val="auto"/>
          <w:sz w:val="24"/>
          <w:szCs w:val="24"/>
        </w:rPr>
        <w:t>。</w:t>
      </w:r>
    </w:p>
    <w:p>
      <w:pPr>
        <w:pStyle w:val="3"/>
        <w:pageBreakBefore w:val="0"/>
        <w:kinsoku/>
        <w:wordWrap/>
        <w:overflowPunct/>
        <w:topLinePunct w:val="0"/>
        <w:bidi w:val="0"/>
        <w:adjustRightInd/>
        <w:snapToGrid/>
        <w:spacing w:line="360" w:lineRule="auto"/>
        <w:textAlignment w:val="auto"/>
        <w:rPr>
          <w:rFonts w:hint="eastAsia" w:ascii="黑体" w:hAnsi="黑体" w:eastAsia="黑体" w:cs="黑体"/>
          <w:bCs w:val="0"/>
          <w:color w:val="auto"/>
          <w:sz w:val="24"/>
          <w:szCs w:val="24"/>
        </w:rPr>
      </w:pPr>
      <w:bookmarkStart w:id="4" w:name="_Toc25650"/>
      <w:r>
        <w:rPr>
          <w:rFonts w:hint="eastAsia" w:ascii="黑体" w:hAnsi="黑体" w:eastAsia="黑体" w:cs="黑体"/>
          <w:bCs w:val="0"/>
          <w:color w:val="auto"/>
          <w:sz w:val="24"/>
          <w:szCs w:val="24"/>
          <w:lang w:val="en-US" w:eastAsia="zh-CN"/>
        </w:rPr>
        <w:t xml:space="preserve">2  </w:t>
      </w:r>
      <w:r>
        <w:rPr>
          <w:rFonts w:hint="eastAsia" w:ascii="黑体" w:hAnsi="黑体" w:eastAsia="黑体" w:cs="黑体"/>
          <w:bCs w:val="0"/>
          <w:color w:val="auto"/>
          <w:sz w:val="24"/>
          <w:szCs w:val="24"/>
        </w:rPr>
        <w:t>国内外生产、应用与标准情况调研</w:t>
      </w:r>
      <w:bookmarkEnd w:id="4"/>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随着社会的不断发展，固体废物量也日益增多，已造成严重的环境污染</w:t>
      </w:r>
      <w:r>
        <w:rPr>
          <w:rFonts w:hint="eastAsia" w:ascii="宋体" w:hAnsi="宋体" w:cs="宋体"/>
          <w:color w:val="auto"/>
          <w:sz w:val="24"/>
          <w:szCs w:val="24"/>
          <w:lang w:eastAsia="zh-CN"/>
        </w:rPr>
        <w:t>，加重了</w:t>
      </w:r>
      <w:r>
        <w:rPr>
          <w:rFonts w:hint="eastAsia" w:ascii="宋体" w:hAnsi="宋体" w:eastAsia="宋体" w:cs="宋体"/>
          <w:color w:val="auto"/>
          <w:sz w:val="24"/>
          <w:szCs w:val="24"/>
        </w:rPr>
        <w:t>经济、社会和环境</w:t>
      </w:r>
      <w:r>
        <w:rPr>
          <w:rFonts w:hint="eastAsia" w:ascii="宋体" w:hAnsi="宋体" w:cs="宋体"/>
          <w:color w:val="auto"/>
          <w:sz w:val="24"/>
          <w:szCs w:val="24"/>
          <w:lang w:eastAsia="zh-CN"/>
        </w:rPr>
        <w:t>的</w:t>
      </w:r>
      <w:r>
        <w:rPr>
          <w:rFonts w:hint="eastAsia" w:ascii="宋体" w:hAnsi="宋体" w:eastAsia="宋体" w:cs="宋体"/>
          <w:color w:val="auto"/>
          <w:sz w:val="24"/>
          <w:szCs w:val="24"/>
        </w:rPr>
        <w:t>负担，综合利用固体废物已是大势所趋。所谓固体废物通常是指生产、生活活动中丢弃的固体和泥状物质，从废水、废气中分离出来的固体颗粒物等，主要来源</w:t>
      </w:r>
      <w:r>
        <w:rPr>
          <w:rFonts w:hint="eastAsia" w:ascii="宋体" w:hAnsi="宋体" w:cs="宋体"/>
          <w:color w:val="auto"/>
          <w:sz w:val="24"/>
          <w:szCs w:val="24"/>
          <w:lang w:eastAsia="zh-CN"/>
        </w:rPr>
        <w:t>于</w:t>
      </w:r>
      <w:r>
        <w:rPr>
          <w:rFonts w:hint="eastAsia" w:ascii="宋体" w:hAnsi="宋体" w:eastAsia="宋体" w:cs="宋体"/>
          <w:color w:val="auto"/>
          <w:sz w:val="24"/>
          <w:szCs w:val="24"/>
        </w:rPr>
        <w:t>人类的生产和消费活动。目前对于固体废物资源的综合利用主要以工业固体废物为主，比较而言目前建筑材料领域对于工业固体废物资源的综合利用是相当广泛的，并且在今后一段时间内，建筑材料领域对于工业固体废物资源综合利用的深度</w:t>
      </w:r>
      <w:r>
        <w:rPr>
          <w:rFonts w:hint="eastAsia" w:ascii="宋体" w:hAnsi="宋体" w:cs="宋体"/>
          <w:color w:val="auto"/>
          <w:sz w:val="24"/>
          <w:szCs w:val="24"/>
          <w:lang w:eastAsia="zh-CN"/>
        </w:rPr>
        <w:t>、</w:t>
      </w:r>
      <w:r>
        <w:rPr>
          <w:rFonts w:hint="eastAsia" w:ascii="宋体" w:hAnsi="宋体" w:eastAsia="宋体" w:cs="宋体"/>
          <w:color w:val="auto"/>
          <w:sz w:val="24"/>
          <w:szCs w:val="24"/>
        </w:rPr>
        <w:t>广度都将</w:t>
      </w:r>
      <w:r>
        <w:rPr>
          <w:rFonts w:hint="eastAsia" w:ascii="宋体" w:hAnsi="宋体" w:cs="宋体"/>
          <w:color w:val="auto"/>
          <w:sz w:val="24"/>
          <w:szCs w:val="24"/>
          <w:lang w:eastAsia="zh-CN"/>
        </w:rPr>
        <w:t>有</w:t>
      </w:r>
      <w:r>
        <w:rPr>
          <w:rFonts w:hint="eastAsia" w:ascii="宋体" w:hAnsi="宋体" w:eastAsia="宋体" w:cs="宋体"/>
          <w:color w:val="auto"/>
          <w:sz w:val="24"/>
          <w:szCs w:val="24"/>
        </w:rPr>
        <w:t>大幅度提高。</w:t>
      </w:r>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业固体废物综合利用产品市场潜力巨大，从工业固废综合利用制备水泥混凝土方面来看，水泥混凝土及制品产业利废的有效途径涵盖以下三个方面：（1）目前我国利用大宗工业固废制备绿色无水泥熟料或少水泥熟料胶凝材料的技术已相对成熟，已成功开发出能够在胶结充填采矿、高性能混凝土、重金属固化、各种砖、砌块、混凝土预制构件等不同领域广泛替代水泥的系列化胶凝材料产品。在混凝土方面，该胶凝材料制备的混凝土硬化后综合耐久性指标比普通混凝土提高3～8 倍，可有效提升混凝土质量、延长建筑的使用寿命，同时可以改变混凝土产业生产模式、简化工艺流程、减少环境污染、提高产品质量，显著降低生产和管理成本、提升企业盈利水平。（2）制作混凝土及其制品中大量的砂石骨料，按1吨水泥需要6吨的砂石骨料计算，每年大约需要132亿吨的砂石骨料。目前，我国砂石骨料大量开采、大量利用，导致砂石资源短缺，多省已无砂可买。因此利用尾矿砂、废石、煤矸石、粉煤灰、钢渣等制备粗细骨料大有可为。（3）各种固废制备的粉体材料可用于混凝土中作为性能调节型材料（改善胶凝性、提高密实性、改善工作性、提高耐久性等），一些工业固体废物已经成为实现混凝土某些性能不可或缺的功能和结构组分。大宗工业固废在水泥与混凝土中资源化利用的潜力并没有完全被挖掘和利用，一些高性能化和高值化利用的技术路线和创新创意，还没有得到实践和应用。</w:t>
      </w:r>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同时，国家“一带一路”</w:t>
      </w:r>
      <w:r>
        <w:rPr>
          <w:rFonts w:hint="eastAsia" w:ascii="宋体" w:hAnsi="宋体" w:cs="宋体"/>
          <w:color w:val="auto"/>
          <w:sz w:val="24"/>
          <w:szCs w:val="24"/>
          <w:lang w:eastAsia="zh-CN"/>
        </w:rPr>
        <w:t>、</w:t>
      </w:r>
      <w:r>
        <w:rPr>
          <w:rFonts w:hint="eastAsia" w:ascii="宋体" w:hAnsi="宋体" w:eastAsia="宋体" w:cs="宋体"/>
          <w:color w:val="auto"/>
          <w:sz w:val="24"/>
          <w:szCs w:val="24"/>
        </w:rPr>
        <w:t>“雄安新区”</w:t>
      </w:r>
      <w:r>
        <w:rPr>
          <w:rFonts w:hint="eastAsia" w:ascii="宋体" w:hAnsi="宋体" w:cs="宋体"/>
          <w:color w:val="auto"/>
          <w:sz w:val="24"/>
          <w:szCs w:val="24"/>
          <w:lang w:eastAsia="zh-CN"/>
        </w:rPr>
        <w:t>、</w:t>
      </w:r>
      <w:r>
        <w:rPr>
          <w:rFonts w:hint="eastAsia" w:ascii="宋体" w:hAnsi="宋体" w:eastAsia="宋体" w:cs="宋体"/>
          <w:color w:val="auto"/>
          <w:sz w:val="24"/>
          <w:szCs w:val="24"/>
        </w:rPr>
        <w:t>“特色小镇”</w:t>
      </w:r>
      <w:r>
        <w:rPr>
          <w:rFonts w:hint="eastAsia" w:ascii="宋体" w:hAnsi="宋体" w:cs="宋体"/>
          <w:color w:val="auto"/>
          <w:sz w:val="24"/>
          <w:szCs w:val="24"/>
          <w:lang w:eastAsia="zh-CN"/>
        </w:rPr>
        <w:t>、</w:t>
      </w:r>
      <w:r>
        <w:rPr>
          <w:rFonts w:hint="eastAsia" w:ascii="宋体" w:hAnsi="宋体" w:eastAsia="宋体" w:cs="宋体"/>
          <w:color w:val="auto"/>
          <w:sz w:val="24"/>
          <w:szCs w:val="24"/>
        </w:rPr>
        <w:t>“海绵城市”等政策的带动，使得绿色建材、绿色建筑、绿色工厂、建筑节能、海绵城市、装配式建筑、美丽乡村的概念深入推广，利用大宗工业固废制作的各种砖、砌块、陶瓷等产品也将大有可为。</w:t>
      </w:r>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低值化工业固体废物资源化利用技术路线简单易行</w:t>
      </w:r>
      <w:r>
        <w:rPr>
          <w:rFonts w:hint="eastAsia" w:ascii="宋体" w:hAnsi="宋体" w:cs="宋体"/>
          <w:color w:val="auto"/>
          <w:sz w:val="24"/>
          <w:szCs w:val="24"/>
          <w:lang w:eastAsia="zh-CN"/>
        </w:rPr>
        <w:t>、</w:t>
      </w:r>
      <w:r>
        <w:rPr>
          <w:rFonts w:hint="eastAsia" w:ascii="宋体" w:hAnsi="宋体" w:eastAsia="宋体" w:cs="宋体"/>
          <w:color w:val="auto"/>
          <w:sz w:val="24"/>
          <w:szCs w:val="24"/>
        </w:rPr>
        <w:t>技术含量低、行业进入门槛低、产品档次低、利用方式粗放等，导致行业内出现恶性竞争激烈、产能过剩严重、产品市场竞争力弱、市场占有率低、企业盈利能力差、资源综合利用效率低、环境污染问题突出、“劣币驱逐良币”等诸多问题。且根据产品全生命周期评价，低质量低性能产品耐久性差、寿命周期短，并不能实现真正的节能减排和绿色低碳。随着绿色制造、绿色建筑理念的发展和提升，《建筑材料生产企业固废物综合利用规范》行业标准的制定，将倒逼利废建材产业创新发展和转型升级，促进工业固体废物综合利用向高性能化、高值化</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规范化、信息化</w:t>
      </w:r>
      <w:r>
        <w:rPr>
          <w:rFonts w:hint="eastAsia" w:ascii="宋体" w:hAnsi="宋体" w:eastAsia="宋体" w:cs="宋体"/>
          <w:color w:val="auto"/>
          <w:sz w:val="24"/>
          <w:szCs w:val="24"/>
        </w:rPr>
        <w:t>良性发展。因此，制定《建筑材料生产企业固废物综合利用规范》行业标准已成为必然。</w:t>
      </w:r>
    </w:p>
    <w:p>
      <w:pPr>
        <w:pStyle w:val="3"/>
        <w:pageBreakBefore w:val="0"/>
        <w:kinsoku/>
        <w:wordWrap/>
        <w:overflowPunct/>
        <w:topLinePunct w:val="0"/>
        <w:bidi w:val="0"/>
        <w:adjustRightInd/>
        <w:snapToGrid/>
        <w:spacing w:line="360" w:lineRule="auto"/>
        <w:textAlignment w:val="auto"/>
        <w:rPr>
          <w:rFonts w:hint="eastAsia" w:ascii="黑体" w:hAnsi="黑体" w:eastAsia="黑体" w:cs="黑体"/>
          <w:bCs w:val="0"/>
          <w:color w:val="auto"/>
          <w:sz w:val="24"/>
          <w:szCs w:val="24"/>
          <w:lang w:val="en-US" w:eastAsia="zh-CN"/>
        </w:rPr>
      </w:pPr>
      <w:bookmarkStart w:id="5" w:name="_Toc31135"/>
      <w:r>
        <w:rPr>
          <w:rFonts w:hint="eastAsia" w:ascii="黑体" w:hAnsi="黑体" w:eastAsia="黑体" w:cs="黑体"/>
          <w:bCs w:val="0"/>
          <w:color w:val="auto"/>
          <w:sz w:val="24"/>
          <w:szCs w:val="24"/>
          <w:lang w:val="en-US" w:eastAsia="zh-CN"/>
        </w:rPr>
        <w:t>3  工作简况</w:t>
      </w:r>
      <w:bookmarkEnd w:id="5"/>
    </w:p>
    <w:p>
      <w:pPr>
        <w:pStyle w:val="5"/>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2016年3月，</w:t>
      </w:r>
      <w:r>
        <w:rPr>
          <w:rFonts w:hint="eastAsia" w:ascii="宋体" w:hAnsi="宋体" w:eastAsia="宋体" w:cs="宋体"/>
          <w:color w:val="auto"/>
          <w:sz w:val="24"/>
          <w:szCs w:val="24"/>
          <w:lang w:val="en-US" w:eastAsia="zh-CN"/>
        </w:rPr>
        <w:t>正式启动</w:t>
      </w:r>
      <w:r>
        <w:rPr>
          <w:rFonts w:hint="eastAsia" w:ascii="宋体" w:hAnsi="宋体" w:eastAsia="宋体" w:cs="宋体"/>
          <w:color w:val="auto"/>
          <w:sz w:val="24"/>
          <w:szCs w:val="24"/>
        </w:rPr>
        <w:t>行业标准《建筑材料生产企业固废物综合利用规范》</w:t>
      </w:r>
      <w:r>
        <w:rPr>
          <w:rFonts w:hint="eastAsia" w:ascii="宋体" w:hAnsi="宋体" w:eastAsia="宋体" w:cs="宋体"/>
          <w:color w:val="auto"/>
          <w:sz w:val="24"/>
          <w:szCs w:val="24"/>
          <w:lang w:val="en-US" w:eastAsia="zh-CN"/>
        </w:rPr>
        <w:t>的筹备工作，</w:t>
      </w:r>
      <w:r>
        <w:rPr>
          <w:rFonts w:hint="eastAsia" w:ascii="宋体" w:hAnsi="宋体" w:eastAsia="宋体" w:cs="宋体"/>
          <w:color w:val="auto"/>
          <w:sz w:val="24"/>
          <w:szCs w:val="24"/>
        </w:rPr>
        <w:t>确定</w:t>
      </w:r>
      <w:r>
        <w:rPr>
          <w:rFonts w:hint="eastAsia" w:ascii="宋体" w:hAnsi="宋体" w:eastAsia="宋体" w:cs="宋体"/>
          <w:color w:val="auto"/>
          <w:sz w:val="24"/>
          <w:szCs w:val="24"/>
          <w:lang w:val="en-US" w:eastAsia="zh-CN"/>
        </w:rPr>
        <w:t>了</w:t>
      </w:r>
      <w:r>
        <w:rPr>
          <w:rFonts w:hint="eastAsia" w:ascii="宋体" w:hAnsi="宋体" w:eastAsia="宋体" w:cs="宋体"/>
          <w:color w:val="auto"/>
          <w:sz w:val="24"/>
          <w:szCs w:val="24"/>
        </w:rPr>
        <w:t>制定原则、方案、制定工作计划及制定工作组成员等，对标准的主要</w:t>
      </w:r>
      <w:r>
        <w:rPr>
          <w:rFonts w:hint="eastAsia" w:ascii="宋体" w:hAnsi="宋体" w:eastAsia="宋体" w:cs="宋体"/>
          <w:color w:val="auto"/>
          <w:sz w:val="24"/>
          <w:szCs w:val="24"/>
          <w:lang w:val="en-US" w:eastAsia="zh-CN"/>
        </w:rPr>
        <w:t>内容进行了讨论</w:t>
      </w:r>
      <w:r>
        <w:rPr>
          <w:rFonts w:hint="eastAsia" w:ascii="宋体" w:hAnsi="宋体" w:eastAsia="宋体" w:cs="宋体"/>
          <w:color w:val="auto"/>
          <w:sz w:val="24"/>
          <w:szCs w:val="24"/>
        </w:rPr>
        <w:t>，</w:t>
      </w:r>
      <w:r>
        <w:rPr>
          <w:rFonts w:hint="eastAsia" w:cs="Arial"/>
          <w:color w:val="auto"/>
          <w:sz w:val="24"/>
        </w:rPr>
        <w:t>标准由建筑材料工业技术监督研究中心、</w:t>
      </w:r>
      <w:r>
        <w:rPr>
          <w:rFonts w:hint="eastAsia" w:cs="Arial"/>
          <w:color w:val="auto"/>
          <w:sz w:val="24"/>
          <w:lang w:val="en-US" w:eastAsia="zh-CN"/>
        </w:rPr>
        <w:t>中国建材检验认证集团股份有限公司</w:t>
      </w:r>
      <w:r>
        <w:rPr>
          <w:rFonts w:hint="eastAsia" w:cs="Arial"/>
          <w:color w:val="auto"/>
          <w:sz w:val="24"/>
        </w:rPr>
        <w:t>负责牵头组织制定。</w:t>
      </w:r>
    </w:p>
    <w:p>
      <w:pPr>
        <w:pageBreakBefore w:val="0"/>
        <w:kinsoku/>
        <w:wordWrap/>
        <w:overflowPunct/>
        <w:topLinePunct w:val="0"/>
        <w:bidi w:val="0"/>
        <w:adjustRightInd/>
        <w:snapToGrid/>
        <w:spacing w:line="360" w:lineRule="auto"/>
        <w:ind w:firstLine="544" w:firstLineChars="22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2016年</w:t>
      </w:r>
      <w:r>
        <w:rPr>
          <w:rFonts w:hint="eastAsia" w:ascii="宋体" w:hAnsi="宋体" w:eastAsia="宋体" w:cs="宋体"/>
          <w:color w:val="auto"/>
          <w:sz w:val="24"/>
          <w:szCs w:val="24"/>
          <w:lang w:val="en-US" w:eastAsia="zh-CN"/>
        </w:rPr>
        <w:t>3月—</w:t>
      </w:r>
      <w:r>
        <w:rPr>
          <w:rFonts w:hint="eastAsia" w:ascii="宋体" w:hAnsi="宋体" w:eastAsia="宋体" w:cs="宋体"/>
          <w:color w:val="auto"/>
          <w:sz w:val="24"/>
          <w:szCs w:val="24"/>
        </w:rPr>
        <w:t>2017年4月，标准起草工作组分赴广东、广西、江西、福建、云南、贵州和四川等地调研，了解建筑材料生产企业对固废物资源综合利用的误区、存在问题和急需解决的困难，确定标准的制定方向，根据走访调研结果及各机构和企业提供的方案，形成标准初稿。</w:t>
      </w:r>
    </w:p>
    <w:p>
      <w:pPr>
        <w:pageBreakBefore w:val="0"/>
        <w:kinsoku/>
        <w:wordWrap/>
        <w:overflowPunct/>
        <w:topLinePunct w:val="0"/>
        <w:bidi w:val="0"/>
        <w:adjustRightInd/>
        <w:snapToGrid/>
        <w:spacing w:line="360" w:lineRule="auto"/>
        <w:ind w:firstLine="544" w:firstLineChars="22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2017年5月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2018年11月</w:t>
      </w:r>
      <w:r>
        <w:rPr>
          <w:rFonts w:hint="eastAsia" w:ascii="宋体" w:hAnsi="宋体" w:eastAsia="宋体" w:cs="宋体"/>
          <w:color w:val="auto"/>
          <w:sz w:val="24"/>
          <w:szCs w:val="24"/>
        </w:rPr>
        <w:t>，标准工作组再次组织标准起草工作组分赴甘肃、青海、新疆等地调研</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走访了当地建筑材料产品生产企业，</w:t>
      </w:r>
      <w:r>
        <w:rPr>
          <w:rFonts w:hint="eastAsia" w:ascii="宋体" w:hAnsi="宋体" w:eastAsia="宋体" w:cs="宋体"/>
          <w:color w:val="auto"/>
          <w:sz w:val="24"/>
          <w:szCs w:val="24"/>
          <w:lang w:val="en-US" w:eastAsia="zh-CN"/>
        </w:rPr>
        <w:t>对</w:t>
      </w:r>
      <w:r>
        <w:rPr>
          <w:rFonts w:hint="eastAsia" w:ascii="宋体" w:hAnsi="宋体" w:eastAsia="宋体" w:cs="宋体"/>
          <w:color w:val="auto"/>
          <w:sz w:val="24"/>
          <w:szCs w:val="24"/>
        </w:rPr>
        <w:t>初稿进行现场讨论修改。</w:t>
      </w:r>
    </w:p>
    <w:p>
      <w:pPr>
        <w:pageBreakBefore w:val="0"/>
        <w:kinsoku/>
        <w:wordWrap/>
        <w:overflowPunct/>
        <w:topLinePunct w:val="0"/>
        <w:bidi w:val="0"/>
        <w:adjustRightInd/>
        <w:snapToGrid/>
        <w:spacing w:line="360" w:lineRule="auto"/>
        <w:ind w:firstLine="544" w:firstLineChars="22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2018年</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2019年9月</w:t>
      </w:r>
      <w:r>
        <w:rPr>
          <w:rFonts w:hint="eastAsia" w:ascii="宋体" w:hAnsi="宋体" w:eastAsia="宋体" w:cs="宋体"/>
          <w:color w:val="auto"/>
          <w:sz w:val="24"/>
          <w:szCs w:val="24"/>
        </w:rPr>
        <w:t>，标准工作组赴辽宁、吉林、黑龙江、内蒙古等地调研，再次修改补充标准。</w:t>
      </w:r>
    </w:p>
    <w:p>
      <w:pPr>
        <w:pageBreakBefore w:val="0"/>
        <w:kinsoku/>
        <w:wordWrap/>
        <w:overflowPunct/>
        <w:topLinePunct w:val="0"/>
        <w:bidi w:val="0"/>
        <w:adjustRightInd/>
        <w:snapToGrid/>
        <w:spacing w:line="360" w:lineRule="auto"/>
        <w:ind w:firstLine="544" w:firstLineChars="22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底</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标准工作组</w:t>
      </w:r>
      <w:r>
        <w:rPr>
          <w:rFonts w:hint="eastAsia" w:ascii="宋体" w:hAnsi="宋体" w:eastAsia="宋体" w:cs="宋体"/>
          <w:color w:val="auto"/>
          <w:sz w:val="24"/>
          <w:szCs w:val="24"/>
        </w:rPr>
        <w:t>在调研了全国范围内的工业固体废物资源综合利用情况之后，</w:t>
      </w:r>
      <w:r>
        <w:rPr>
          <w:rFonts w:hint="eastAsia" w:ascii="宋体" w:hAnsi="宋体" w:eastAsia="宋体" w:cs="宋体"/>
          <w:color w:val="auto"/>
          <w:sz w:val="24"/>
          <w:szCs w:val="24"/>
          <w:lang w:val="en-US" w:eastAsia="zh-CN"/>
        </w:rPr>
        <w:t>在山西</w:t>
      </w:r>
      <w:r>
        <w:rPr>
          <w:rFonts w:hint="eastAsia" w:ascii="宋体" w:hAnsi="宋体" w:eastAsia="宋体" w:cs="宋体"/>
          <w:color w:val="auto"/>
          <w:sz w:val="24"/>
          <w:szCs w:val="24"/>
        </w:rPr>
        <w:t>组织召开了行业标准工作会议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会上针对调研情况做了</w:t>
      </w:r>
      <w:r>
        <w:rPr>
          <w:rFonts w:hint="eastAsia" w:ascii="宋体" w:hAnsi="宋体" w:eastAsia="宋体" w:cs="宋体"/>
          <w:color w:val="auto"/>
          <w:sz w:val="24"/>
          <w:szCs w:val="24"/>
          <w:lang w:val="en-US" w:eastAsia="zh-CN"/>
        </w:rPr>
        <w:t>汇报</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逐条讲解了标准内容。</w:t>
      </w:r>
      <w:r>
        <w:rPr>
          <w:rFonts w:hint="eastAsia" w:ascii="宋体" w:hAnsi="宋体" w:cs="宋体"/>
          <w:color w:val="auto"/>
          <w:sz w:val="24"/>
          <w:szCs w:val="24"/>
          <w:lang w:val="en-US" w:eastAsia="zh-CN"/>
        </w:rPr>
        <w:t>山</w:t>
      </w:r>
      <w:r>
        <w:rPr>
          <w:rFonts w:hint="eastAsia" w:ascii="宋体" w:hAnsi="宋体" w:eastAsia="宋体" w:cs="宋体"/>
          <w:color w:val="auto"/>
          <w:sz w:val="24"/>
          <w:szCs w:val="24"/>
          <w:lang w:val="en-US" w:eastAsia="zh-CN"/>
        </w:rPr>
        <w:t>西、陕西、广西等地参会代表在会上发表了意见</w:t>
      </w:r>
      <w:r>
        <w:rPr>
          <w:rFonts w:hint="eastAsia" w:ascii="宋体" w:hAnsi="宋体" w:eastAsia="宋体" w:cs="宋体"/>
          <w:color w:val="auto"/>
          <w:sz w:val="24"/>
          <w:szCs w:val="24"/>
        </w:rPr>
        <w:t>，对标准的具体条款进行了修改、调整和完善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形成征求意见稿初稿。</w:t>
      </w:r>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2019年</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2019年12月</w:t>
      </w:r>
      <w:r>
        <w:rPr>
          <w:rFonts w:hint="eastAsia" w:ascii="宋体" w:hAnsi="宋体" w:eastAsia="宋体" w:cs="宋体"/>
          <w:color w:val="auto"/>
          <w:sz w:val="24"/>
          <w:szCs w:val="24"/>
        </w:rPr>
        <w:t>，标准工作组赴广西、山西</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浙江</w:t>
      </w:r>
      <w:r>
        <w:rPr>
          <w:rFonts w:hint="eastAsia" w:ascii="宋体" w:hAnsi="宋体" w:eastAsia="宋体" w:cs="宋体"/>
          <w:color w:val="auto"/>
          <w:sz w:val="24"/>
          <w:szCs w:val="24"/>
        </w:rPr>
        <w:t>等地</w:t>
      </w:r>
      <w:r>
        <w:rPr>
          <w:rFonts w:hint="eastAsia" w:ascii="宋体" w:hAnsi="宋体" w:eastAsia="宋体" w:cs="宋体"/>
          <w:color w:val="auto"/>
          <w:sz w:val="24"/>
          <w:szCs w:val="24"/>
          <w:lang w:val="en-US" w:eastAsia="zh-CN"/>
        </w:rPr>
        <w:t>就标准稿内容进行实地调研</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分析其可行性。</w:t>
      </w:r>
      <w:r>
        <w:rPr>
          <w:rFonts w:hint="eastAsia" w:ascii="宋体" w:hAnsi="宋体" w:eastAsia="宋体" w:cs="宋体"/>
          <w:color w:val="auto"/>
          <w:sz w:val="24"/>
          <w:szCs w:val="24"/>
        </w:rPr>
        <w:t>在此基础上</w:t>
      </w:r>
      <w:r>
        <w:rPr>
          <w:rFonts w:hint="eastAsia" w:ascii="宋体" w:hAnsi="宋体" w:eastAsia="宋体" w:cs="宋体"/>
          <w:color w:val="auto"/>
          <w:sz w:val="24"/>
          <w:szCs w:val="24"/>
          <w:lang w:val="en-US" w:eastAsia="zh-CN"/>
        </w:rPr>
        <w:t>又</w:t>
      </w:r>
      <w:r>
        <w:rPr>
          <w:rFonts w:hint="eastAsia" w:ascii="宋体" w:hAnsi="宋体" w:eastAsia="宋体" w:cs="宋体"/>
          <w:color w:val="auto"/>
          <w:sz w:val="24"/>
          <w:szCs w:val="24"/>
        </w:rPr>
        <w:t>修改</w:t>
      </w:r>
      <w:r>
        <w:rPr>
          <w:rFonts w:hint="eastAsia" w:ascii="宋体" w:hAnsi="宋体" w:eastAsia="宋体" w:cs="宋体"/>
          <w:color w:val="auto"/>
          <w:sz w:val="24"/>
          <w:szCs w:val="24"/>
          <w:lang w:val="en-US" w:eastAsia="zh-CN"/>
        </w:rPr>
        <w:t>完善了</w:t>
      </w:r>
      <w:r>
        <w:rPr>
          <w:rFonts w:hint="eastAsia" w:ascii="宋体" w:hAnsi="宋体" w:eastAsia="宋体" w:cs="宋体"/>
          <w:color w:val="auto"/>
          <w:sz w:val="24"/>
          <w:szCs w:val="24"/>
        </w:rPr>
        <w:t>标准中的具体条款，</w:t>
      </w:r>
      <w:r>
        <w:rPr>
          <w:rFonts w:hint="eastAsia" w:ascii="宋体" w:hAnsi="宋体" w:eastAsia="宋体" w:cs="宋体"/>
          <w:color w:val="auto"/>
          <w:sz w:val="24"/>
          <w:szCs w:val="24"/>
          <w:lang w:val="en-US" w:eastAsia="zh-CN"/>
        </w:rPr>
        <w:t>形成了</w:t>
      </w:r>
      <w:r>
        <w:rPr>
          <w:rFonts w:hint="eastAsia" w:ascii="宋体" w:hAnsi="宋体" w:eastAsia="宋体" w:cs="宋体"/>
          <w:color w:val="auto"/>
          <w:sz w:val="24"/>
          <w:szCs w:val="24"/>
        </w:rPr>
        <w:t>标准征求意见稿。</w:t>
      </w:r>
    </w:p>
    <w:p>
      <w:pPr>
        <w:pStyle w:val="3"/>
        <w:rPr>
          <w:rFonts w:hint="eastAsia" w:ascii="黑体" w:hAnsi="黑体" w:eastAsia="黑体" w:cs="黑体"/>
          <w:bCs w:val="0"/>
          <w:color w:val="auto"/>
          <w:sz w:val="24"/>
          <w:szCs w:val="24"/>
        </w:rPr>
      </w:pPr>
      <w:bookmarkStart w:id="6" w:name="_Toc18484893"/>
      <w:bookmarkStart w:id="7" w:name="_Toc7929"/>
      <w:r>
        <w:rPr>
          <w:rFonts w:hint="eastAsia" w:ascii="黑体" w:hAnsi="黑体" w:eastAsia="黑体" w:cs="黑体"/>
          <w:bCs w:val="0"/>
          <w:color w:val="auto"/>
          <w:sz w:val="24"/>
          <w:szCs w:val="24"/>
          <w:lang w:val="en-US" w:eastAsia="zh-CN"/>
        </w:rPr>
        <w:t xml:space="preserve">4  </w:t>
      </w:r>
      <w:r>
        <w:rPr>
          <w:rFonts w:hint="eastAsia" w:ascii="黑体" w:hAnsi="黑体" w:eastAsia="黑体" w:cs="黑体"/>
          <w:bCs w:val="0"/>
          <w:color w:val="auto"/>
          <w:sz w:val="24"/>
          <w:szCs w:val="24"/>
        </w:rPr>
        <w:t>主要参加单位和主要工作内容</w:t>
      </w:r>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建筑材料工业技术监督研究中心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中国</w:t>
      </w:r>
      <w:r>
        <w:rPr>
          <w:rFonts w:hint="eastAsia" w:ascii="宋体" w:hAnsi="宋体" w:eastAsia="宋体" w:cs="宋体"/>
          <w:color w:val="auto"/>
          <w:sz w:val="24"/>
          <w:szCs w:val="24"/>
          <w:lang w:val="en-US" w:eastAsia="zh-CN"/>
        </w:rPr>
        <w:t>建材</w:t>
      </w:r>
      <w:r>
        <w:rPr>
          <w:rFonts w:hint="eastAsia" w:ascii="宋体" w:hAnsi="宋体" w:eastAsia="宋体" w:cs="宋体"/>
          <w:color w:val="auto"/>
          <w:sz w:val="24"/>
          <w:szCs w:val="24"/>
        </w:rPr>
        <w:t>检验认证集团</w:t>
      </w:r>
      <w:r>
        <w:rPr>
          <w:rFonts w:hint="eastAsia" w:ascii="宋体" w:hAnsi="宋体" w:eastAsia="宋体" w:cs="宋体"/>
          <w:color w:val="auto"/>
          <w:sz w:val="24"/>
          <w:szCs w:val="24"/>
          <w:lang w:val="en-US" w:eastAsia="zh-CN"/>
        </w:rPr>
        <w:t>股份有限公司</w:t>
      </w:r>
      <w:r>
        <w:rPr>
          <w:rFonts w:hint="eastAsia" w:ascii="宋体" w:hAnsi="宋体" w:eastAsia="宋体" w:cs="宋体"/>
          <w:color w:val="auto"/>
          <w:sz w:val="24"/>
          <w:szCs w:val="24"/>
        </w:rPr>
        <w:t>为标准编制的牵头单位，组织各有关生产、原材料、设备、加工及检测等相关企事业单位，为标准的制定做了大量工作，包括咨询请示主管政府部门，梳理统计国家政策法律法规，走访调研相关企事业单位，收集、比对与分析国内外相关资料，固体废物种类、固体废物综合利用生产工艺、生产工序与产品品质等各方面的工作。</w:t>
      </w:r>
    </w:p>
    <w:p>
      <w:pPr>
        <w:pStyle w:val="11"/>
        <w:spacing w:beforeLines="100" w:afterLines="50" w:line="360" w:lineRule="auto"/>
        <w:jc w:val="both"/>
        <w:outlineLvl w:val="0"/>
        <w:rPr>
          <w:rFonts w:ascii="Times New Roman" w:hAnsi="Times New Roman" w:eastAsia="黑体"/>
          <w:b/>
          <w:bCs/>
          <w:color w:val="auto"/>
          <w:sz w:val="28"/>
          <w:szCs w:val="28"/>
        </w:rPr>
      </w:pPr>
      <w:bookmarkStart w:id="8" w:name="_Toc18484894"/>
      <w:bookmarkStart w:id="9" w:name="_Toc10874"/>
      <w:r>
        <w:rPr>
          <w:rFonts w:hint="eastAsia" w:ascii="Times New Roman" w:hAnsi="Times New Roman" w:eastAsia="黑体"/>
          <w:b/>
          <w:bCs/>
          <w:color w:val="auto"/>
          <w:sz w:val="28"/>
          <w:szCs w:val="28"/>
          <w:lang w:val="en-US" w:eastAsia="zh-CN"/>
        </w:rPr>
        <w:t>二、</w:t>
      </w:r>
      <w:r>
        <w:rPr>
          <w:rFonts w:hint="eastAsia" w:ascii="Times New Roman" w:hAnsi="Times New Roman" w:eastAsia="黑体"/>
          <w:b/>
          <w:bCs/>
          <w:color w:val="auto"/>
          <w:sz w:val="28"/>
          <w:szCs w:val="28"/>
        </w:rPr>
        <w:t>编制原则和依据</w:t>
      </w:r>
      <w:bookmarkEnd w:id="8"/>
      <w:bookmarkEnd w:id="9"/>
    </w:p>
    <w:p>
      <w:pPr>
        <w:pStyle w:val="3"/>
        <w:rPr>
          <w:rFonts w:ascii="Times New Roman" w:hAnsi="Times New Roman" w:eastAsia="黑体"/>
          <w:bCs w:val="0"/>
          <w:color w:val="auto"/>
          <w:sz w:val="24"/>
          <w:szCs w:val="24"/>
        </w:rPr>
      </w:pPr>
      <w:bookmarkStart w:id="10" w:name="_Toc18484895"/>
      <w:bookmarkStart w:id="11" w:name="_Toc20474"/>
      <w:r>
        <w:rPr>
          <w:rFonts w:hint="eastAsia" w:ascii="Times New Roman" w:hAnsi="Times New Roman" w:eastAsia="黑体"/>
          <w:bCs w:val="0"/>
          <w:color w:val="auto"/>
          <w:sz w:val="24"/>
          <w:szCs w:val="24"/>
        </w:rPr>
        <w:t>1</w:t>
      </w:r>
      <w:r>
        <w:rPr>
          <w:rFonts w:hint="eastAsia" w:ascii="Times New Roman" w:hAnsi="Times New Roman" w:eastAsia="黑体"/>
          <w:bCs w:val="0"/>
          <w:color w:val="auto"/>
          <w:sz w:val="24"/>
          <w:szCs w:val="24"/>
          <w:lang w:val="en-US" w:eastAsia="zh-CN"/>
        </w:rPr>
        <w:t xml:space="preserve">  </w:t>
      </w:r>
      <w:r>
        <w:rPr>
          <w:rFonts w:hint="eastAsia" w:ascii="Times New Roman" w:hAnsi="Times New Roman" w:eastAsia="黑体"/>
          <w:bCs w:val="0"/>
          <w:color w:val="auto"/>
          <w:sz w:val="24"/>
          <w:szCs w:val="24"/>
        </w:rPr>
        <w:t>编制原则</w:t>
      </w:r>
      <w:bookmarkEnd w:id="10"/>
      <w:bookmarkEnd w:id="11"/>
    </w:p>
    <w:p>
      <w:pPr>
        <w:spacing w:line="360" w:lineRule="auto"/>
        <w:ind w:firstLine="480" w:firstLineChars="200"/>
        <w:rPr>
          <w:rFonts w:ascii="Times New Roman" w:hAnsi="Times New Roman" w:cs="Arial"/>
          <w:color w:val="auto"/>
          <w:sz w:val="24"/>
          <w:szCs w:val="24"/>
        </w:rPr>
      </w:pPr>
      <w:r>
        <w:rPr>
          <w:rFonts w:hint="eastAsia" w:ascii="Times New Roman" w:hAnsi="Times New Roman" w:cs="Arial"/>
          <w:color w:val="auto"/>
          <w:sz w:val="24"/>
          <w:szCs w:val="24"/>
        </w:rPr>
        <w:t>本标准按照GB/T 1.1-2009给出的规则起草。遵从以下规则：贯彻执行国家的政策、法规，与现行其他国家标准协调一致的原则；技术指标制定先进可行、规范合理的原则；标准制定促进行业健康发展和产品推广的原则。标准制定过程中参考了各生产企业标准，试验方法主要采用现行的国家标准和行业标准，以保证标准中技术指标的准确性、科学性与可比性，各项指标值在满足要求的前提下根据各生产企业</w:t>
      </w:r>
      <w:r>
        <w:rPr>
          <w:rFonts w:hint="eastAsia" w:ascii="Times New Roman" w:hAnsi="Times New Roman" w:cs="Arial"/>
          <w:color w:val="auto"/>
          <w:sz w:val="24"/>
          <w:szCs w:val="24"/>
          <w:lang w:val="en-US" w:eastAsia="zh-CN"/>
        </w:rPr>
        <w:t>的实际情况</w:t>
      </w:r>
      <w:r>
        <w:rPr>
          <w:rFonts w:hint="eastAsia" w:ascii="Times New Roman" w:hAnsi="Times New Roman" w:cs="Arial"/>
          <w:color w:val="auto"/>
          <w:sz w:val="24"/>
          <w:szCs w:val="24"/>
        </w:rPr>
        <w:t>确定。</w:t>
      </w:r>
    </w:p>
    <w:p>
      <w:pPr>
        <w:spacing w:line="360" w:lineRule="auto"/>
        <w:ind w:firstLine="420"/>
        <w:rPr>
          <w:rFonts w:ascii="Times New Roman" w:hAnsi="Times New Roman" w:cs="Arial"/>
          <w:color w:val="auto"/>
          <w:sz w:val="24"/>
          <w:szCs w:val="24"/>
        </w:rPr>
      </w:pPr>
      <w:r>
        <w:rPr>
          <w:rFonts w:hint="eastAsia" w:ascii="Times New Roman" w:hAnsi="Times New Roman" w:cs="Arial"/>
          <w:color w:val="auto"/>
          <w:sz w:val="24"/>
          <w:szCs w:val="24"/>
        </w:rPr>
        <w:t>本标准的编制原则为先进性、实用性。</w:t>
      </w:r>
    </w:p>
    <w:p>
      <w:pPr>
        <w:pStyle w:val="3"/>
        <w:rPr>
          <w:rFonts w:hint="eastAsia" w:ascii="Times New Roman" w:hAnsi="Times New Roman" w:eastAsia="黑体"/>
          <w:bCs w:val="0"/>
          <w:color w:val="auto"/>
          <w:sz w:val="24"/>
          <w:szCs w:val="24"/>
          <w:lang w:val="en-US" w:eastAsia="zh-CN"/>
        </w:rPr>
      </w:pPr>
      <w:bookmarkStart w:id="12" w:name="_Toc18484896"/>
      <w:bookmarkStart w:id="13" w:name="_Toc5986"/>
      <w:r>
        <w:rPr>
          <w:rFonts w:hint="eastAsia" w:ascii="Times New Roman" w:hAnsi="Times New Roman" w:eastAsia="黑体"/>
          <w:bCs w:val="0"/>
          <w:color w:val="auto"/>
          <w:sz w:val="24"/>
          <w:szCs w:val="24"/>
        </w:rPr>
        <w:t>2</w:t>
      </w:r>
      <w:r>
        <w:rPr>
          <w:rFonts w:hint="eastAsia" w:ascii="Times New Roman" w:hAnsi="Times New Roman" w:eastAsia="黑体"/>
          <w:bCs w:val="0"/>
          <w:color w:val="auto"/>
          <w:sz w:val="24"/>
          <w:szCs w:val="24"/>
          <w:lang w:val="en-US" w:eastAsia="zh-CN"/>
        </w:rPr>
        <w:t xml:space="preserve">  </w:t>
      </w:r>
      <w:r>
        <w:rPr>
          <w:rFonts w:hint="eastAsia" w:ascii="Times New Roman" w:hAnsi="Times New Roman" w:eastAsia="黑体"/>
          <w:bCs w:val="0"/>
          <w:color w:val="auto"/>
          <w:sz w:val="24"/>
          <w:szCs w:val="24"/>
        </w:rPr>
        <w:t>编制依据</w:t>
      </w:r>
      <w:bookmarkEnd w:id="12"/>
      <w:bookmarkEnd w:id="13"/>
    </w:p>
    <w:p>
      <w:pPr>
        <w:spacing w:line="360" w:lineRule="auto"/>
        <w:ind w:firstLine="480" w:firstLineChars="200"/>
        <w:rPr>
          <w:rFonts w:hint="eastAsia" w:ascii="Times New Roman" w:hAnsi="Times New Roman" w:cs="Arial"/>
          <w:color w:val="auto"/>
          <w:sz w:val="24"/>
          <w:szCs w:val="24"/>
        </w:rPr>
      </w:pPr>
      <w:r>
        <w:rPr>
          <w:rFonts w:hint="eastAsia" w:ascii="Times New Roman" w:hAnsi="Times New Roman" w:cs="Arial"/>
          <w:color w:val="auto"/>
          <w:sz w:val="24"/>
          <w:szCs w:val="24"/>
        </w:rPr>
        <w:t>编制依据主要参照GB/T 1.1的要求，并与现行标准相协调。</w:t>
      </w:r>
    </w:p>
    <w:p>
      <w:pPr>
        <w:spacing w:line="360" w:lineRule="auto"/>
        <w:ind w:firstLine="480" w:firstLineChars="200"/>
        <w:rPr>
          <w:rFonts w:hint="eastAsia" w:cs="Arial"/>
          <w:color w:val="auto"/>
          <w:sz w:val="24"/>
          <w:szCs w:val="24"/>
          <w:lang w:val="en-US" w:eastAsia="zh-CN"/>
        </w:rPr>
      </w:pPr>
      <w:r>
        <w:rPr>
          <w:rFonts w:hint="eastAsia" w:ascii="Times New Roman" w:hAnsi="Times New Roman" w:cs="Arial"/>
          <w:color w:val="auto"/>
          <w:sz w:val="24"/>
          <w:szCs w:val="24"/>
          <w:lang w:val="en-US" w:eastAsia="zh-CN"/>
        </w:rPr>
        <w:t>本标准规定的所有要求是通用的，旨在适用于各种类型、不同规模和提供不同建筑材料产品的企业。在制定过程中主要参考了国内管理体系相关标准，包括GB/T 19001《质量管理体系 要求》、GB/T 24001《环境管理体系 要求及使用指南》、GB/T 23331《能源管理体系 要求》、GB/T 19022《测量管理体系认证》等，</w:t>
      </w:r>
      <w:r>
        <w:rPr>
          <w:rFonts w:hint="eastAsia" w:cs="Arial"/>
          <w:color w:val="auto"/>
          <w:sz w:val="24"/>
          <w:szCs w:val="24"/>
          <w:lang w:val="en-US" w:eastAsia="zh-CN"/>
        </w:rPr>
        <w:t>这些标准为本标准的管理方法提供了参考。本标准还参考了</w:t>
      </w:r>
      <w:r>
        <w:rPr>
          <w:rFonts w:hint="eastAsia" w:ascii="Times New Roman" w:hAnsi="Times New Roman" w:cs="Arial"/>
          <w:color w:val="auto"/>
          <w:sz w:val="24"/>
          <w:szCs w:val="24"/>
          <w:lang w:val="en-US" w:eastAsia="zh-CN"/>
        </w:rPr>
        <w:t>相关污染控制标准包括</w:t>
      </w:r>
      <w:r>
        <w:rPr>
          <w:rFonts w:hint="eastAsia" w:ascii="Times New Roman" w:hAnsi="Times New Roman" w:cs="Arial"/>
          <w:color w:val="auto"/>
          <w:sz w:val="24"/>
          <w:szCs w:val="24"/>
        </w:rPr>
        <w:t>GB 16297</w:t>
      </w:r>
      <w:r>
        <w:rPr>
          <w:rFonts w:hint="eastAsia" w:ascii="Times New Roman" w:hAnsi="Times New Roman" w:cs="Arial"/>
          <w:color w:val="auto"/>
          <w:sz w:val="24"/>
          <w:szCs w:val="24"/>
          <w:lang w:val="en-US" w:eastAsia="zh-CN"/>
        </w:rPr>
        <w:t>《</w:t>
      </w:r>
      <w:r>
        <w:rPr>
          <w:rFonts w:hint="eastAsia" w:ascii="Times New Roman" w:hAnsi="Times New Roman" w:cs="Arial"/>
          <w:color w:val="auto"/>
          <w:sz w:val="24"/>
          <w:szCs w:val="24"/>
        </w:rPr>
        <w:t>大气污染物综合排放标准</w:t>
      </w:r>
      <w:r>
        <w:rPr>
          <w:rFonts w:hint="eastAsia" w:ascii="Times New Roman" w:hAnsi="Times New Roman" w:cs="Arial"/>
          <w:color w:val="auto"/>
          <w:sz w:val="24"/>
          <w:szCs w:val="24"/>
          <w:lang w:val="en-US" w:eastAsia="zh-CN"/>
        </w:rPr>
        <w:t>》、GB 30485《水泥窑协同处置固体废物污染控制标准》</w:t>
      </w:r>
      <w:r>
        <w:rPr>
          <w:rFonts w:hint="eastAsia" w:cs="Arial"/>
          <w:color w:val="auto"/>
          <w:sz w:val="24"/>
          <w:szCs w:val="24"/>
          <w:lang w:val="en-US" w:eastAsia="zh-CN"/>
        </w:rPr>
        <w:t>等和相关固废量测试标准包括</w:t>
      </w:r>
      <w:r>
        <w:rPr>
          <w:rFonts w:hint="eastAsia" w:ascii="Times New Roman" w:hAnsi="Times New Roman" w:cs="Arial"/>
          <w:color w:val="auto"/>
          <w:sz w:val="24"/>
          <w:szCs w:val="24"/>
          <w:lang w:val="en-US" w:eastAsia="zh-CN"/>
        </w:rPr>
        <w:t>GB</w:t>
      </w:r>
      <w:r>
        <w:rPr>
          <w:rFonts w:hint="eastAsia" w:cs="Arial"/>
          <w:color w:val="auto"/>
          <w:sz w:val="24"/>
          <w:szCs w:val="24"/>
          <w:lang w:val="en-US" w:eastAsia="zh-CN"/>
        </w:rPr>
        <w:t>/</w:t>
      </w:r>
      <w:r>
        <w:rPr>
          <w:rFonts w:hint="eastAsia" w:ascii="Times New Roman" w:hAnsi="Times New Roman" w:cs="Arial"/>
          <w:color w:val="auto"/>
          <w:sz w:val="24"/>
          <w:szCs w:val="24"/>
          <w:lang w:val="en-US" w:eastAsia="zh-CN"/>
        </w:rPr>
        <w:t>T 27978《水泥生产原料中废渣用量的测定方法》等</w:t>
      </w:r>
      <w:r>
        <w:rPr>
          <w:rFonts w:hint="eastAsia" w:cs="Arial"/>
          <w:color w:val="auto"/>
          <w:sz w:val="24"/>
          <w:szCs w:val="24"/>
          <w:lang w:val="en-US" w:eastAsia="zh-CN"/>
        </w:rPr>
        <w:t>，为本标准污染控制、固废计量等提供参考，使得本标准与现有标准具有一定的衔接性，提升本标准的先进性和实用性。</w:t>
      </w:r>
    </w:p>
    <w:p>
      <w:pPr>
        <w:pStyle w:val="11"/>
        <w:spacing w:before="120" w:after="120" w:line="360" w:lineRule="auto"/>
        <w:jc w:val="both"/>
        <w:outlineLvl w:val="0"/>
        <w:rPr>
          <w:rFonts w:hint="eastAsia" w:ascii="Times New Roman" w:hAnsi="Times New Roman" w:eastAsia="黑体"/>
          <w:b/>
          <w:bCs/>
          <w:color w:val="auto"/>
          <w:sz w:val="28"/>
          <w:szCs w:val="28"/>
          <w:lang w:eastAsia="zh-CN"/>
        </w:rPr>
      </w:pPr>
      <w:bookmarkStart w:id="14" w:name="_Toc457303102"/>
      <w:bookmarkStart w:id="15" w:name="_Toc18484897"/>
      <w:bookmarkStart w:id="16" w:name="_Toc457302936"/>
      <w:bookmarkStart w:id="17" w:name="_Toc316030259"/>
      <w:bookmarkStart w:id="18" w:name="_Toc10662"/>
      <w:r>
        <w:rPr>
          <w:rFonts w:hint="eastAsia" w:ascii="Times New Roman" w:hAnsi="Times New Roman" w:eastAsia="黑体"/>
          <w:b/>
          <w:bCs/>
          <w:color w:val="auto"/>
          <w:sz w:val="28"/>
          <w:szCs w:val="28"/>
          <w:lang w:val="en-US" w:eastAsia="zh-CN"/>
        </w:rPr>
        <w:t>三、</w:t>
      </w:r>
      <w:r>
        <w:rPr>
          <w:rFonts w:hint="eastAsia" w:ascii="Times New Roman" w:hAnsi="Times New Roman" w:eastAsia="黑体"/>
          <w:b/>
          <w:bCs/>
          <w:color w:val="auto"/>
          <w:sz w:val="28"/>
          <w:szCs w:val="28"/>
        </w:rPr>
        <w:t>主要条文说明</w:t>
      </w:r>
      <w:bookmarkEnd w:id="14"/>
      <w:bookmarkEnd w:id="15"/>
      <w:bookmarkEnd w:id="16"/>
      <w:bookmarkEnd w:id="17"/>
      <w:bookmarkEnd w:id="18"/>
    </w:p>
    <w:p>
      <w:pPr>
        <w:pStyle w:val="3"/>
        <w:rPr>
          <w:rFonts w:hint="eastAsia" w:ascii="Times New Roman" w:hAnsi="Times New Roman" w:eastAsia="黑体"/>
          <w:bCs w:val="0"/>
          <w:color w:val="auto"/>
          <w:sz w:val="24"/>
          <w:szCs w:val="24"/>
        </w:rPr>
      </w:pPr>
      <w:bookmarkStart w:id="19" w:name="_Toc18484898"/>
      <w:bookmarkStart w:id="20" w:name="_Toc18643"/>
      <w:r>
        <w:rPr>
          <w:rFonts w:hint="eastAsia" w:ascii="Times New Roman" w:hAnsi="Times New Roman" w:eastAsia="黑体"/>
          <w:bCs w:val="0"/>
          <w:color w:val="auto"/>
          <w:sz w:val="24"/>
          <w:szCs w:val="24"/>
        </w:rPr>
        <w:t>1</w:t>
      </w:r>
      <w:r>
        <w:rPr>
          <w:rFonts w:hint="eastAsia" w:ascii="Times New Roman" w:hAnsi="Times New Roman" w:eastAsia="黑体"/>
          <w:bCs w:val="0"/>
          <w:color w:val="auto"/>
          <w:sz w:val="24"/>
          <w:szCs w:val="24"/>
          <w:lang w:val="en-US" w:eastAsia="zh-CN"/>
        </w:rPr>
        <w:t xml:space="preserve">  </w:t>
      </w:r>
      <w:r>
        <w:rPr>
          <w:rFonts w:hint="eastAsia" w:ascii="Times New Roman" w:hAnsi="Times New Roman" w:eastAsia="黑体"/>
          <w:bCs w:val="0"/>
          <w:color w:val="auto"/>
          <w:sz w:val="24"/>
          <w:szCs w:val="24"/>
        </w:rPr>
        <w:t>范围</w:t>
      </w:r>
      <w:bookmarkEnd w:id="19"/>
      <w:bookmarkEnd w:id="20"/>
    </w:p>
    <w:p>
      <w:pPr>
        <w:pStyle w:val="23"/>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jc w:val="both"/>
        <w:textAlignment w:val="auto"/>
        <w:rPr>
          <w:rFonts w:hint="eastAsia"/>
          <w:color w:val="auto"/>
          <w:sz w:val="24"/>
          <w:szCs w:val="24"/>
        </w:rPr>
      </w:pPr>
      <w:r>
        <w:rPr>
          <w:rFonts w:hint="eastAsia"/>
          <w:color w:val="auto"/>
          <w:sz w:val="24"/>
          <w:szCs w:val="24"/>
        </w:rPr>
        <w:t>本标准规定了从事固体废物综合利用的建筑材料生产企业的贮存及处置场所设施要求、产废登记、来源管理、计量器具及计量要求、库存盘点要求、综合利用技术条件和要求、生产管理与质量要求、安全生产与劳动保护、环境保护要求、标准化管理体系建立以及第三方评价要求。</w:t>
      </w:r>
    </w:p>
    <w:p>
      <w:pPr>
        <w:pStyle w:val="23"/>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jc w:val="both"/>
        <w:textAlignment w:val="auto"/>
        <w:rPr>
          <w:rFonts w:hint="eastAsia"/>
          <w:color w:val="auto"/>
          <w:sz w:val="24"/>
          <w:szCs w:val="24"/>
          <w:lang w:eastAsia="zh-CN"/>
        </w:rPr>
      </w:pPr>
      <w:r>
        <w:rPr>
          <w:rFonts w:hint="eastAsia"/>
          <w:color w:val="auto"/>
          <w:sz w:val="24"/>
          <w:szCs w:val="24"/>
        </w:rPr>
        <w:t>本标准适用于从事固体废物综合利用的建筑材料生产企业以及第三方评价机构</w:t>
      </w:r>
      <w:r>
        <w:rPr>
          <w:rFonts w:hint="eastAsia"/>
          <w:color w:val="auto"/>
          <w:sz w:val="24"/>
          <w:szCs w:val="24"/>
          <w:lang w:eastAsia="zh-CN"/>
        </w:rPr>
        <w:t>。</w:t>
      </w:r>
    </w:p>
    <w:p>
      <w:pPr>
        <w:pStyle w:val="23"/>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jc w:val="both"/>
        <w:textAlignment w:val="auto"/>
        <w:rPr>
          <w:rFonts w:hint="eastAsia" w:eastAsia="宋体"/>
          <w:color w:val="auto"/>
          <w:sz w:val="24"/>
          <w:szCs w:val="24"/>
          <w:lang w:val="en-US" w:eastAsia="zh-CN"/>
        </w:rPr>
      </w:pPr>
      <w:r>
        <w:rPr>
          <w:rFonts w:hint="eastAsia"/>
          <w:color w:val="auto"/>
          <w:sz w:val="24"/>
          <w:szCs w:val="24"/>
          <w:lang w:val="en-US" w:eastAsia="zh-CN"/>
        </w:rPr>
        <w:t>本标准为首个建材行业固废物综合利用规范，在</w:t>
      </w:r>
      <w:r>
        <w:rPr>
          <w:rFonts w:hint="eastAsia"/>
          <w:color w:val="auto"/>
          <w:sz w:val="24"/>
          <w:szCs w:val="24"/>
        </w:rPr>
        <w:t>完善工业固体废物资源综合利用领域的治理架构、创新管理</w:t>
      </w:r>
      <w:r>
        <w:rPr>
          <w:rFonts w:hint="eastAsia"/>
          <w:color w:val="auto"/>
          <w:sz w:val="24"/>
          <w:szCs w:val="24"/>
          <w:lang w:val="en-US" w:eastAsia="zh-CN"/>
        </w:rPr>
        <w:t>和</w:t>
      </w:r>
      <w:r>
        <w:rPr>
          <w:rFonts w:hint="eastAsia"/>
          <w:color w:val="auto"/>
          <w:sz w:val="24"/>
          <w:szCs w:val="24"/>
        </w:rPr>
        <w:t>建设</w:t>
      </w:r>
      <w:r>
        <w:rPr>
          <w:rFonts w:hint="eastAsia"/>
          <w:color w:val="auto"/>
          <w:sz w:val="24"/>
          <w:szCs w:val="24"/>
          <w:lang w:eastAsia="zh-CN"/>
        </w:rPr>
        <w:t>建材行业计量</w:t>
      </w:r>
      <w:r>
        <w:rPr>
          <w:rFonts w:hint="eastAsia"/>
          <w:color w:val="auto"/>
          <w:sz w:val="24"/>
          <w:szCs w:val="24"/>
        </w:rPr>
        <w:t>可信体系方面</w:t>
      </w:r>
      <w:r>
        <w:rPr>
          <w:rFonts w:hint="eastAsia"/>
          <w:color w:val="auto"/>
          <w:sz w:val="24"/>
          <w:szCs w:val="24"/>
          <w:lang w:val="en-US" w:eastAsia="zh-CN"/>
        </w:rPr>
        <w:t>具有一定</w:t>
      </w:r>
      <w:r>
        <w:rPr>
          <w:rFonts w:hint="eastAsia"/>
          <w:color w:val="auto"/>
          <w:sz w:val="24"/>
          <w:szCs w:val="24"/>
        </w:rPr>
        <w:t>先进</w:t>
      </w:r>
      <w:r>
        <w:rPr>
          <w:rFonts w:hint="eastAsia"/>
          <w:color w:val="auto"/>
          <w:sz w:val="24"/>
          <w:szCs w:val="24"/>
          <w:lang w:val="en-US" w:eastAsia="zh-CN"/>
        </w:rPr>
        <w:t>性。</w:t>
      </w:r>
    </w:p>
    <w:p>
      <w:pPr>
        <w:pStyle w:val="3"/>
        <w:rPr>
          <w:rFonts w:hint="eastAsia" w:ascii="Times New Roman" w:hAnsi="Times New Roman" w:eastAsia="黑体"/>
          <w:bCs w:val="0"/>
          <w:color w:val="auto"/>
          <w:sz w:val="24"/>
          <w:szCs w:val="24"/>
        </w:rPr>
      </w:pPr>
      <w:bookmarkStart w:id="21" w:name="_Toc18484899"/>
      <w:bookmarkStart w:id="22" w:name="_Toc31506"/>
      <w:r>
        <w:rPr>
          <w:rFonts w:hint="eastAsia" w:ascii="Times New Roman" w:hAnsi="Times New Roman" w:eastAsia="黑体"/>
          <w:bCs w:val="0"/>
          <w:color w:val="auto"/>
          <w:sz w:val="24"/>
          <w:szCs w:val="24"/>
        </w:rPr>
        <w:t>2</w:t>
      </w:r>
      <w:r>
        <w:rPr>
          <w:rFonts w:hint="eastAsia" w:ascii="Times New Roman" w:hAnsi="Times New Roman" w:eastAsia="黑体"/>
          <w:bCs w:val="0"/>
          <w:color w:val="auto"/>
          <w:sz w:val="24"/>
          <w:szCs w:val="24"/>
          <w:lang w:val="en-US" w:eastAsia="zh-CN"/>
        </w:rPr>
        <w:t xml:space="preserve">  规范性</w:t>
      </w:r>
      <w:r>
        <w:rPr>
          <w:rFonts w:hint="eastAsia" w:ascii="Times New Roman" w:hAnsi="Times New Roman" w:eastAsia="黑体"/>
          <w:bCs w:val="0"/>
          <w:color w:val="auto"/>
          <w:sz w:val="24"/>
          <w:szCs w:val="24"/>
        </w:rPr>
        <w:t>引用文件</w:t>
      </w:r>
      <w:bookmarkEnd w:id="21"/>
      <w:bookmarkEnd w:id="22"/>
    </w:p>
    <w:p>
      <w:pPr>
        <w:pStyle w:val="23"/>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jc w:val="both"/>
        <w:textAlignment w:val="auto"/>
        <w:rPr>
          <w:rFonts w:hint="eastAsia"/>
          <w:color w:val="auto"/>
          <w:sz w:val="24"/>
          <w:szCs w:val="24"/>
        </w:rPr>
      </w:pPr>
      <w:r>
        <w:rPr>
          <w:rFonts w:hint="eastAsia"/>
          <w:color w:val="auto"/>
          <w:sz w:val="24"/>
          <w:szCs w:val="24"/>
        </w:rPr>
        <w:t>本部分列出了在本标准中所引用的国家标准和行业标准等规范性</w:t>
      </w:r>
      <w:r>
        <w:rPr>
          <w:rFonts w:hint="eastAsia"/>
          <w:color w:val="auto"/>
          <w:sz w:val="24"/>
          <w:szCs w:val="24"/>
          <w:lang w:eastAsia="zh-CN"/>
        </w:rPr>
        <w:t>引用</w:t>
      </w:r>
      <w:r>
        <w:rPr>
          <w:rFonts w:hint="eastAsia"/>
          <w:color w:val="auto"/>
          <w:sz w:val="24"/>
          <w:szCs w:val="24"/>
        </w:rPr>
        <w:t>文件。</w:t>
      </w:r>
    </w:p>
    <w:p>
      <w:pPr>
        <w:pStyle w:val="23"/>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jc w:val="both"/>
        <w:textAlignment w:val="auto"/>
        <w:rPr>
          <w:rFonts w:hint="eastAsia"/>
          <w:color w:val="auto"/>
          <w:sz w:val="24"/>
          <w:szCs w:val="24"/>
          <w:lang w:val="en-US" w:eastAsia="zh-CN"/>
        </w:rPr>
      </w:pPr>
      <w:r>
        <w:rPr>
          <w:rFonts w:hint="eastAsia"/>
          <w:color w:val="auto"/>
          <w:sz w:val="24"/>
          <w:szCs w:val="24"/>
          <w:lang w:val="en-US" w:eastAsia="zh-CN"/>
        </w:rPr>
        <w:t>参考引用了GB 14554《恶臭污染物排放标准》、GB 16297《大气污染物综合排放标准》、HJ 1091《固体废物再生利用污染防治技术导则》中的规定，对建材企业综合利用固体废物时的环境保护提出了相应的要求。为了保证与现有标准体系的协调，还引用了GB 30485《水泥窑协同处置固体废物污染控制标准》、HJ 662《水泥窑协同处置固体废物环境保护技术规范》、GB 30760《水泥窑协同处置固体废物技术规范》作为水泥企业污染控制及处置技术要求。</w:t>
      </w:r>
    </w:p>
    <w:p>
      <w:pPr>
        <w:pStyle w:val="23"/>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jc w:val="both"/>
        <w:textAlignment w:val="auto"/>
        <w:rPr>
          <w:rFonts w:hint="default"/>
          <w:color w:val="auto"/>
          <w:sz w:val="24"/>
          <w:szCs w:val="24"/>
          <w:lang w:val="en-US"/>
        </w:rPr>
      </w:pPr>
      <w:r>
        <w:rPr>
          <w:rFonts w:hint="eastAsia"/>
          <w:color w:val="auto"/>
          <w:sz w:val="24"/>
          <w:szCs w:val="24"/>
          <w:lang w:eastAsia="zh-CN"/>
        </w:rPr>
        <w:t>引用了</w:t>
      </w:r>
      <w:r>
        <w:rPr>
          <w:rFonts w:hint="eastAsia"/>
          <w:color w:val="auto"/>
          <w:sz w:val="24"/>
          <w:szCs w:val="24"/>
        </w:rPr>
        <w:t>GB 18599</w:t>
      </w:r>
      <w:r>
        <w:rPr>
          <w:rFonts w:hint="eastAsia"/>
          <w:color w:val="auto"/>
          <w:sz w:val="24"/>
          <w:szCs w:val="24"/>
          <w:lang w:eastAsia="zh-CN"/>
        </w:rPr>
        <w:t>《</w:t>
      </w:r>
      <w:r>
        <w:rPr>
          <w:rFonts w:hint="eastAsia"/>
          <w:color w:val="auto"/>
          <w:sz w:val="24"/>
          <w:szCs w:val="24"/>
        </w:rPr>
        <w:t>一般工业固体废物贮存场、处置场污染控制标准</w:t>
      </w:r>
      <w:r>
        <w:rPr>
          <w:rFonts w:hint="eastAsia"/>
          <w:color w:val="auto"/>
          <w:sz w:val="24"/>
          <w:szCs w:val="24"/>
          <w:lang w:eastAsia="zh-CN"/>
        </w:rPr>
        <w:t>》作为建材企业贮存、处置场所的要求。</w:t>
      </w:r>
    </w:p>
    <w:p>
      <w:pPr>
        <w:pStyle w:val="23"/>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jc w:val="both"/>
        <w:textAlignment w:val="auto"/>
        <w:rPr>
          <w:rFonts w:hint="eastAsia"/>
          <w:color w:val="auto"/>
          <w:sz w:val="24"/>
          <w:szCs w:val="24"/>
        </w:rPr>
      </w:pPr>
      <w:r>
        <w:rPr>
          <w:rFonts w:hint="eastAsia"/>
          <w:color w:val="auto"/>
          <w:sz w:val="24"/>
          <w:szCs w:val="24"/>
          <w:lang w:val="en-US" w:eastAsia="zh-CN"/>
        </w:rPr>
        <w:t>引用了GB 34330《</w:t>
      </w:r>
      <w:r>
        <w:rPr>
          <w:rFonts w:hint="default"/>
          <w:color w:val="auto"/>
          <w:sz w:val="24"/>
          <w:szCs w:val="24"/>
          <w:lang w:val="en-US" w:eastAsia="zh-CN"/>
        </w:rPr>
        <w:t>固体废物鉴别标准</w:t>
      </w:r>
      <w:r>
        <w:rPr>
          <w:rFonts w:hint="eastAsia"/>
          <w:color w:val="auto"/>
          <w:sz w:val="24"/>
          <w:szCs w:val="24"/>
          <w:lang w:val="en-US" w:eastAsia="zh-CN"/>
        </w:rPr>
        <w:t xml:space="preserve"> </w:t>
      </w:r>
      <w:r>
        <w:rPr>
          <w:rFonts w:hint="default"/>
          <w:color w:val="auto"/>
          <w:sz w:val="24"/>
          <w:szCs w:val="24"/>
          <w:lang w:val="en-US" w:eastAsia="zh-CN"/>
        </w:rPr>
        <w:t>通则</w:t>
      </w:r>
      <w:r>
        <w:rPr>
          <w:rFonts w:hint="eastAsia"/>
          <w:color w:val="auto"/>
          <w:sz w:val="24"/>
          <w:szCs w:val="24"/>
          <w:lang w:val="en-US" w:eastAsia="zh-CN"/>
        </w:rPr>
        <w:t>》作为首次使用的固体废物的质量鉴定标准。</w:t>
      </w:r>
    </w:p>
    <w:p>
      <w:pPr>
        <w:pStyle w:val="3"/>
        <w:rPr>
          <w:rFonts w:hint="eastAsia" w:ascii="Times New Roman" w:hAnsi="Times New Roman" w:eastAsia="黑体"/>
          <w:bCs w:val="0"/>
          <w:color w:val="auto"/>
          <w:sz w:val="24"/>
          <w:szCs w:val="24"/>
        </w:rPr>
      </w:pPr>
      <w:bookmarkStart w:id="23" w:name="_Toc18484900"/>
      <w:bookmarkStart w:id="24" w:name="_Toc16370"/>
      <w:r>
        <w:rPr>
          <w:rFonts w:hint="eastAsia" w:ascii="Times New Roman" w:hAnsi="Times New Roman" w:eastAsia="黑体"/>
          <w:bCs w:val="0"/>
          <w:color w:val="auto"/>
          <w:sz w:val="24"/>
          <w:szCs w:val="24"/>
        </w:rPr>
        <w:t>3</w:t>
      </w:r>
      <w:r>
        <w:rPr>
          <w:rFonts w:hint="eastAsia" w:ascii="Times New Roman" w:hAnsi="Times New Roman" w:eastAsia="黑体"/>
          <w:bCs w:val="0"/>
          <w:color w:val="auto"/>
          <w:sz w:val="24"/>
          <w:szCs w:val="24"/>
          <w:lang w:val="en-US" w:eastAsia="zh-CN"/>
        </w:rPr>
        <w:t xml:space="preserve"> </w:t>
      </w:r>
      <w:r>
        <w:rPr>
          <w:rFonts w:hint="eastAsia" w:ascii="Times New Roman" w:hAnsi="Times New Roman" w:eastAsia="黑体"/>
          <w:bCs w:val="0"/>
          <w:color w:val="auto"/>
          <w:sz w:val="24"/>
          <w:szCs w:val="24"/>
        </w:rPr>
        <w:t xml:space="preserve"> 术语和定义</w:t>
      </w:r>
      <w:bookmarkEnd w:id="23"/>
      <w:bookmarkEnd w:id="24"/>
    </w:p>
    <w:p>
      <w:pPr>
        <w:pageBreakBefore w:val="0"/>
        <w:kinsoku/>
        <w:wordWrap/>
        <w:overflowPunct/>
        <w:topLinePunct w:val="0"/>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本部分为执行本标准制定的专门术语，并对容易引起歧义的名词进行了定义。</w:t>
      </w:r>
    </w:p>
    <w:p>
      <w:pPr>
        <w:pageBreakBefore w:val="0"/>
        <w:kinsoku/>
        <w:wordWrap/>
        <w:overflowPunct/>
        <w:topLinePunct w:val="0"/>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（1）固体废物。在最新发布实施的HJ 1091中已对该术语进行了定义，本标准直接引用该定义。</w:t>
      </w:r>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（2）资源综合利用产</w:t>
      </w:r>
      <w:r>
        <w:rPr>
          <w:rFonts w:hint="eastAsia" w:ascii="宋体" w:hAnsi="宋体" w:eastAsia="宋体" w:cs="宋体"/>
          <w:color w:val="auto"/>
          <w:sz w:val="24"/>
          <w:szCs w:val="24"/>
          <w:lang w:val="en-US" w:eastAsia="zh-CN"/>
        </w:rPr>
        <w:t>品。</w:t>
      </w:r>
      <w:r>
        <w:rPr>
          <w:rFonts w:hint="eastAsia" w:ascii="宋体" w:hAnsi="宋体" w:cs="宋体"/>
          <w:color w:val="auto"/>
          <w:sz w:val="24"/>
          <w:szCs w:val="24"/>
          <w:lang w:val="en-US" w:eastAsia="zh-CN"/>
        </w:rPr>
        <w:t>为了便于理解本标准所包含的资源综合利用产品，并与相关政策协调一致，特给出定义：</w:t>
      </w:r>
      <w:r>
        <w:rPr>
          <w:rFonts w:hint="eastAsia" w:ascii="宋体" w:hAnsi="宋体" w:eastAsia="宋体" w:cs="宋体"/>
          <w:color w:val="auto"/>
          <w:sz w:val="24"/>
          <w:szCs w:val="24"/>
          <w:lang w:val="en-US" w:eastAsia="zh-CN"/>
        </w:rPr>
        <w:t>指固体废物等资源经过综合开发、合理利用（加工）使其具有一定使用价值，同时满足《国家工业固体废物资源综合利用产品目录》所规定的综合利用技术</w:t>
      </w:r>
      <w:r>
        <w:rPr>
          <w:rFonts w:hint="eastAsia"/>
          <w:color w:val="auto"/>
          <w:sz w:val="24"/>
          <w:szCs w:val="24"/>
          <w:lang w:val="en-US" w:eastAsia="zh-CN"/>
        </w:rPr>
        <w:t>条件和要求或《资源综合利用产品和劳务增值税优惠目录</w:t>
      </w:r>
      <w:r>
        <w:rPr>
          <w:rFonts w:hint="eastAsia" w:ascii="宋体" w:hAnsi="宋体" w:eastAsia="宋体" w:cs="宋体"/>
          <w:color w:val="auto"/>
          <w:sz w:val="24"/>
          <w:szCs w:val="24"/>
          <w:lang w:val="en-US" w:eastAsia="zh-CN"/>
        </w:rPr>
        <w:t>》规定的技术标准和相关条件的产品。</w:t>
      </w:r>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（3）固体废物综合利用存证平台。</w:t>
      </w:r>
      <w:r>
        <w:rPr>
          <w:rFonts w:hint="eastAsia" w:ascii="宋体" w:hAnsi="宋体" w:cs="宋体"/>
          <w:color w:val="auto"/>
          <w:sz w:val="24"/>
          <w:szCs w:val="24"/>
          <w:lang w:val="en-US" w:eastAsia="zh-CN"/>
        </w:rPr>
        <w:t>为了与相关政策协调一致，便于标准的理解和使用，特给出定义：</w:t>
      </w:r>
      <w:r>
        <w:rPr>
          <w:rFonts w:hint="eastAsia" w:ascii="宋体" w:hAnsi="宋体" w:eastAsia="宋体" w:cs="宋体"/>
          <w:color w:val="auto"/>
          <w:sz w:val="24"/>
          <w:szCs w:val="24"/>
          <w:lang w:val="en-US" w:eastAsia="zh-CN"/>
        </w:rPr>
        <w:t>指经过省级以上工业行政主管部门认可（委托）、具备固体废物综合利用凭证信息数据可追溯、固体废物综合利用量在线动态监控和分类统计的管理信息平台。</w:t>
      </w:r>
    </w:p>
    <w:p>
      <w:pPr>
        <w:pStyle w:val="3"/>
        <w:rPr>
          <w:rFonts w:hint="eastAsia" w:ascii="Times New Roman" w:hAnsi="Times New Roman" w:eastAsia="黑体"/>
          <w:bCs w:val="0"/>
          <w:color w:val="auto"/>
          <w:sz w:val="24"/>
          <w:szCs w:val="24"/>
          <w:lang w:val="en-US" w:eastAsia="zh-CN"/>
        </w:rPr>
      </w:pPr>
      <w:bookmarkStart w:id="25" w:name="_Toc32168"/>
      <w:r>
        <w:rPr>
          <w:rFonts w:hint="eastAsia" w:ascii="Times New Roman" w:hAnsi="Times New Roman" w:eastAsia="黑体"/>
          <w:bCs w:val="0"/>
          <w:color w:val="auto"/>
          <w:sz w:val="24"/>
          <w:szCs w:val="24"/>
          <w:lang w:val="en-US" w:eastAsia="zh-CN"/>
        </w:rPr>
        <w:t xml:space="preserve">4 </w:t>
      </w:r>
      <w:r>
        <w:rPr>
          <w:rFonts w:hint="eastAsia" w:ascii="Times New Roman" w:hAnsi="Times New Roman" w:eastAsia="黑体"/>
          <w:bCs w:val="0"/>
          <w:color w:val="auto"/>
          <w:sz w:val="24"/>
          <w:szCs w:val="24"/>
        </w:rPr>
        <w:t xml:space="preserve"> </w:t>
      </w:r>
      <w:r>
        <w:rPr>
          <w:rFonts w:hint="eastAsia" w:ascii="Times New Roman" w:hAnsi="Times New Roman" w:eastAsia="黑体"/>
          <w:bCs w:val="0"/>
          <w:color w:val="auto"/>
          <w:sz w:val="24"/>
          <w:szCs w:val="24"/>
          <w:lang w:val="en-US" w:eastAsia="zh-CN"/>
        </w:rPr>
        <w:t>基本要求</w:t>
      </w:r>
      <w:bookmarkEnd w:id="25"/>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本部分规定了建筑材料生产企业</w:t>
      </w:r>
      <w:r>
        <w:rPr>
          <w:rFonts w:hint="eastAsia" w:ascii="宋体" w:hAnsi="宋体" w:eastAsia="宋体" w:cs="宋体"/>
          <w:color w:val="auto"/>
          <w:sz w:val="24"/>
          <w:szCs w:val="24"/>
          <w:lang w:val="en-US" w:eastAsia="zh-CN"/>
        </w:rPr>
        <w:t>对</w:t>
      </w:r>
      <w:r>
        <w:rPr>
          <w:rFonts w:hint="eastAsia" w:ascii="宋体" w:hAnsi="宋体" w:eastAsia="宋体" w:cs="宋体"/>
          <w:color w:val="auto"/>
          <w:sz w:val="24"/>
          <w:szCs w:val="24"/>
          <w:lang w:eastAsia="zh-CN"/>
        </w:rPr>
        <w:t>固</w:t>
      </w:r>
      <w:r>
        <w:rPr>
          <w:rFonts w:hint="eastAsia" w:ascii="宋体" w:hAnsi="宋体" w:eastAsia="宋体" w:cs="宋体"/>
          <w:color w:val="auto"/>
          <w:sz w:val="24"/>
          <w:szCs w:val="24"/>
          <w:lang w:val="en-US" w:eastAsia="zh-CN"/>
        </w:rPr>
        <w:t>体</w:t>
      </w:r>
      <w:r>
        <w:rPr>
          <w:rFonts w:hint="eastAsia" w:ascii="宋体" w:hAnsi="宋体" w:eastAsia="宋体" w:cs="宋体"/>
          <w:color w:val="auto"/>
          <w:sz w:val="24"/>
          <w:szCs w:val="24"/>
          <w:lang w:eastAsia="zh-CN"/>
        </w:rPr>
        <w:t>废物综合利用的基本要求</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重点强调了建材生产企业应加强信息化建设，确保固体废物综合利用信息的可追溯性</w:t>
      </w:r>
      <w:r>
        <w:rPr>
          <w:rFonts w:hint="eastAsia" w:ascii="宋体" w:hAnsi="宋体" w:eastAsia="宋体" w:cs="宋体"/>
          <w:color w:val="auto"/>
          <w:sz w:val="24"/>
          <w:szCs w:val="24"/>
          <w:lang w:eastAsia="zh-CN"/>
        </w:rPr>
        <w:t>。</w:t>
      </w:r>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（1）建材生产企业首先</w:t>
      </w:r>
      <w:r>
        <w:rPr>
          <w:rFonts w:hint="eastAsia" w:ascii="宋体" w:hAnsi="宋体" w:eastAsia="宋体" w:cs="宋体"/>
          <w:color w:val="auto"/>
          <w:sz w:val="24"/>
          <w:szCs w:val="24"/>
          <w:lang w:val="en-US" w:eastAsia="zh-CN"/>
        </w:rPr>
        <w:t>应贯彻执行国家可持续发展战略，落实建材工业发展、资源综合利用和节能、节水、节电等政策。</w:t>
      </w:r>
      <w:r>
        <w:rPr>
          <w:rFonts w:hint="eastAsia" w:ascii="宋体" w:hAnsi="宋体" w:cs="宋体"/>
          <w:color w:val="auto"/>
          <w:sz w:val="24"/>
          <w:szCs w:val="24"/>
          <w:lang w:val="en-US" w:eastAsia="zh-CN"/>
        </w:rPr>
        <w:t>其次要</w:t>
      </w:r>
      <w:r>
        <w:rPr>
          <w:rFonts w:hint="eastAsia" w:ascii="宋体" w:hAnsi="宋体" w:eastAsia="宋体" w:cs="宋体"/>
          <w:color w:val="auto"/>
          <w:sz w:val="24"/>
          <w:szCs w:val="24"/>
          <w:lang w:val="en-US" w:eastAsia="zh-CN"/>
        </w:rPr>
        <w:t>推行清洁生产，</w:t>
      </w:r>
      <w:r>
        <w:rPr>
          <w:rFonts w:hint="eastAsia" w:ascii="宋体" w:hAnsi="宋体" w:cs="宋体"/>
          <w:color w:val="auto"/>
          <w:sz w:val="24"/>
          <w:szCs w:val="24"/>
          <w:lang w:val="en-US" w:eastAsia="zh-CN"/>
        </w:rPr>
        <w:t>努力建设成</w:t>
      </w:r>
      <w:r>
        <w:rPr>
          <w:rFonts w:hint="eastAsia" w:ascii="宋体" w:hAnsi="宋体" w:eastAsia="宋体" w:cs="宋体"/>
          <w:color w:val="auto"/>
          <w:sz w:val="24"/>
          <w:szCs w:val="24"/>
          <w:lang w:val="en-US" w:eastAsia="zh-CN"/>
        </w:rPr>
        <w:t>“资源节约型、环境友好型”的生产企业</w:t>
      </w:r>
      <w:r>
        <w:rPr>
          <w:rFonts w:hint="eastAsia" w:ascii="宋体" w:hAnsi="宋体" w:cs="宋体"/>
          <w:color w:val="auto"/>
          <w:sz w:val="24"/>
          <w:szCs w:val="24"/>
          <w:lang w:val="en-US" w:eastAsia="zh-CN"/>
        </w:rPr>
        <w:t>。最后应</w:t>
      </w:r>
      <w:r>
        <w:rPr>
          <w:rFonts w:hint="eastAsia" w:ascii="宋体" w:hAnsi="宋体" w:eastAsia="宋体" w:cs="宋体"/>
          <w:color w:val="auto"/>
          <w:sz w:val="24"/>
          <w:szCs w:val="24"/>
          <w:lang w:val="en-US" w:eastAsia="zh-CN"/>
        </w:rPr>
        <w:t>根据经济、技术条件，对其产生的或接收的工业固体废物加以利用，不能盲目接受</w:t>
      </w:r>
      <w:r>
        <w:rPr>
          <w:rFonts w:hint="eastAsia" w:ascii="宋体" w:hAnsi="宋体" w:cs="宋体"/>
          <w:color w:val="auto"/>
          <w:sz w:val="24"/>
          <w:szCs w:val="24"/>
          <w:lang w:val="en-US" w:eastAsia="zh-CN"/>
        </w:rPr>
        <w:t>以</w:t>
      </w:r>
      <w:r>
        <w:rPr>
          <w:rFonts w:hint="eastAsia" w:ascii="宋体" w:hAnsi="宋体" w:eastAsia="宋体" w:cs="宋体"/>
          <w:color w:val="auto"/>
          <w:sz w:val="24"/>
          <w:szCs w:val="24"/>
          <w:lang w:val="en-US" w:eastAsia="zh-CN"/>
        </w:rPr>
        <w:t>自身技术、经济等条件无法利用的固体废物。</w:t>
      </w:r>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（2）为了与目前国家固体废物综合利用相关政策协调一致，要求建材生产企业</w:t>
      </w:r>
      <w:r>
        <w:rPr>
          <w:rFonts w:hint="eastAsia" w:ascii="宋体" w:hAnsi="宋体" w:eastAsia="宋体" w:cs="宋体"/>
          <w:color w:val="auto"/>
          <w:sz w:val="24"/>
          <w:szCs w:val="24"/>
          <w:lang w:val="en-US" w:eastAsia="zh-CN"/>
        </w:rPr>
        <w:t>对固体废物的接收量、贮存量、处置量、综合利用量、转移量进行准确计量，加强信息化建设，完善成文信息管理，应当建立固体废物管理台账，如实记录产生固体废物的种类、数量、流向以及贮存、处置、综合利用、接收转入等信息</w:t>
      </w:r>
      <w:r>
        <w:rPr>
          <w:rFonts w:hint="eastAsia" w:ascii="宋体" w:hAnsi="宋体" w:cs="宋体"/>
          <w:color w:val="auto"/>
          <w:sz w:val="24"/>
          <w:szCs w:val="24"/>
          <w:lang w:val="en-US" w:eastAsia="zh-CN"/>
        </w:rPr>
        <w:t>。同时为了改变现在固体废物利用量的不可追溯、信息不可共享等问题，标准要求建筑材料生产企业应使</w:t>
      </w:r>
      <w:r>
        <w:rPr>
          <w:rFonts w:hint="eastAsia" w:ascii="宋体" w:hAnsi="宋体" w:eastAsia="宋体" w:cs="宋体"/>
          <w:color w:val="auto"/>
          <w:sz w:val="24"/>
          <w:szCs w:val="24"/>
          <w:lang w:val="en-US" w:eastAsia="zh-CN"/>
        </w:rPr>
        <w:t>固体废物综合利用的凭证信息数据可追溯、固体废物的综合利用量可联网共享，方便政府监管部门或评价机构实现跨部门、跨区域利用以及业务协同办理。</w:t>
      </w:r>
    </w:p>
    <w:p>
      <w:pPr>
        <w:pStyle w:val="3"/>
        <w:rPr>
          <w:rFonts w:hint="eastAsia" w:ascii="Times New Roman" w:hAnsi="Times New Roman" w:eastAsia="黑体"/>
          <w:bCs w:val="0"/>
          <w:color w:val="auto"/>
          <w:sz w:val="24"/>
          <w:szCs w:val="24"/>
          <w:lang w:val="en-US" w:eastAsia="zh-CN"/>
        </w:rPr>
      </w:pPr>
      <w:bookmarkStart w:id="26" w:name="_Toc501"/>
      <w:r>
        <w:rPr>
          <w:rFonts w:hint="eastAsia" w:ascii="Times New Roman" w:hAnsi="Times New Roman" w:eastAsia="黑体"/>
          <w:bCs w:val="0"/>
          <w:color w:val="auto"/>
          <w:sz w:val="24"/>
          <w:szCs w:val="24"/>
          <w:lang w:val="en-US" w:eastAsia="zh-CN"/>
        </w:rPr>
        <w:t>5</w:t>
      </w:r>
      <w:r>
        <w:rPr>
          <w:rFonts w:hint="eastAsia" w:ascii="Times New Roman" w:hAnsi="Times New Roman" w:eastAsia="黑体"/>
          <w:bCs w:val="0"/>
          <w:color w:val="auto"/>
          <w:sz w:val="24"/>
          <w:szCs w:val="24"/>
        </w:rPr>
        <w:t xml:space="preserve"> </w:t>
      </w:r>
      <w:r>
        <w:rPr>
          <w:rFonts w:hint="eastAsia" w:ascii="Times New Roman" w:hAnsi="Times New Roman" w:eastAsia="黑体"/>
          <w:bCs w:val="0"/>
          <w:color w:val="auto"/>
          <w:sz w:val="24"/>
          <w:szCs w:val="24"/>
          <w:lang w:val="en-US" w:eastAsia="zh-CN"/>
        </w:rPr>
        <w:t xml:space="preserve"> 固体废物来源要求</w:t>
      </w:r>
      <w:bookmarkEnd w:id="26"/>
    </w:p>
    <w:p>
      <w:pPr>
        <w:pageBreakBefore w:val="0"/>
        <w:kinsoku/>
        <w:wordWrap/>
        <w:overflowPunct/>
        <w:topLinePunct w:val="0"/>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因</w:t>
      </w:r>
      <w:r>
        <w:rPr>
          <w:rFonts w:hint="eastAsia" w:ascii="宋体" w:hAnsi="宋体" w:cs="宋体"/>
          <w:color w:val="auto"/>
          <w:sz w:val="24"/>
          <w:szCs w:val="24"/>
          <w:lang w:eastAsia="zh-CN"/>
        </w:rPr>
        <w:t>《中华人民共和国固体废物污染环境防治法》</w:t>
      </w:r>
      <w:r>
        <w:rPr>
          <w:rFonts w:hint="eastAsia" w:ascii="宋体" w:hAnsi="宋体" w:cs="宋体"/>
          <w:color w:val="auto"/>
          <w:sz w:val="24"/>
          <w:szCs w:val="24"/>
          <w:lang w:val="en-US" w:eastAsia="zh-CN"/>
        </w:rPr>
        <w:t>规定：国家实行工业固体废物申报登记制度。产生工业固体废物的单位必须按照国务院环境保护行政主管部门的规定，向所在地县级以上地方人民政府环境保护行政主管部门提供工业固体废物的种类、产生量、流向、贮存、处置等有关资料。因国家禁止进口不能用作原料或者不能以无害化方式利用的固体废物，禁止进口列入禁止进口目录的固体废物等，</w:t>
      </w:r>
      <w:r>
        <w:rPr>
          <w:rFonts w:hint="eastAsia" w:ascii="宋体" w:hAnsi="宋体" w:cs="宋体"/>
          <w:color w:val="auto"/>
          <w:sz w:val="24"/>
          <w:szCs w:val="24"/>
          <w:lang w:eastAsia="zh-CN"/>
        </w:rPr>
        <w:t>本部分</w:t>
      </w:r>
      <w:r>
        <w:rPr>
          <w:rFonts w:hint="eastAsia" w:ascii="宋体" w:hAnsi="宋体" w:cs="宋体"/>
          <w:color w:val="auto"/>
          <w:sz w:val="24"/>
          <w:szCs w:val="24"/>
          <w:lang w:val="en-US" w:eastAsia="zh-CN"/>
        </w:rPr>
        <w:t>根据</w:t>
      </w:r>
      <w:r>
        <w:rPr>
          <w:rFonts w:hint="eastAsia" w:ascii="宋体" w:hAnsi="宋体" w:cs="宋体"/>
          <w:color w:val="auto"/>
          <w:sz w:val="24"/>
          <w:szCs w:val="24"/>
          <w:lang w:eastAsia="zh-CN"/>
        </w:rPr>
        <w:t>《中华人民共和国固体废物污染环境防治法》</w:t>
      </w:r>
      <w:r>
        <w:rPr>
          <w:rFonts w:hint="eastAsia" w:ascii="宋体" w:hAnsi="宋体" w:cs="宋体"/>
          <w:color w:val="auto"/>
          <w:sz w:val="24"/>
          <w:szCs w:val="24"/>
          <w:lang w:val="en-US" w:eastAsia="zh-CN"/>
        </w:rPr>
        <w:t>有关规定，</w:t>
      </w:r>
      <w:r>
        <w:rPr>
          <w:rFonts w:hint="eastAsia" w:ascii="宋体" w:hAnsi="宋体" w:cs="宋体"/>
          <w:color w:val="auto"/>
          <w:sz w:val="24"/>
          <w:szCs w:val="24"/>
          <w:lang w:eastAsia="zh-CN"/>
        </w:rPr>
        <w:t>规定了建筑材料生产企业</w:t>
      </w:r>
      <w:r>
        <w:rPr>
          <w:rFonts w:hint="eastAsia" w:ascii="宋体" w:hAnsi="宋体" w:cs="宋体"/>
          <w:color w:val="auto"/>
          <w:sz w:val="24"/>
          <w:szCs w:val="24"/>
          <w:lang w:val="en-US" w:eastAsia="zh-CN"/>
        </w:rPr>
        <w:t>对</w:t>
      </w:r>
      <w:r>
        <w:rPr>
          <w:rFonts w:hint="eastAsia" w:ascii="宋体" w:hAnsi="宋体" w:cs="宋体"/>
          <w:color w:val="auto"/>
          <w:sz w:val="24"/>
          <w:szCs w:val="24"/>
          <w:lang w:eastAsia="zh-CN"/>
        </w:rPr>
        <w:t>固</w:t>
      </w:r>
      <w:r>
        <w:rPr>
          <w:rFonts w:hint="eastAsia" w:ascii="宋体" w:hAnsi="宋体" w:cs="宋体"/>
          <w:color w:val="auto"/>
          <w:sz w:val="24"/>
          <w:szCs w:val="24"/>
          <w:lang w:val="en-US" w:eastAsia="zh-CN"/>
        </w:rPr>
        <w:t>体</w:t>
      </w:r>
      <w:r>
        <w:rPr>
          <w:rFonts w:hint="eastAsia" w:ascii="宋体" w:hAnsi="宋体" w:cs="宋体"/>
          <w:color w:val="auto"/>
          <w:sz w:val="24"/>
          <w:szCs w:val="24"/>
          <w:lang w:eastAsia="zh-CN"/>
        </w:rPr>
        <w:t>废物</w:t>
      </w:r>
      <w:r>
        <w:rPr>
          <w:rFonts w:hint="eastAsia" w:ascii="宋体" w:hAnsi="宋体" w:cs="宋体"/>
          <w:color w:val="auto"/>
          <w:sz w:val="24"/>
          <w:szCs w:val="24"/>
          <w:lang w:val="en-US" w:eastAsia="zh-CN"/>
        </w:rPr>
        <w:t>来源进行管控</w:t>
      </w:r>
      <w:r>
        <w:rPr>
          <w:rFonts w:hint="eastAsia" w:ascii="宋体" w:hAnsi="宋体" w:cs="宋体"/>
          <w:color w:val="auto"/>
          <w:sz w:val="24"/>
          <w:szCs w:val="24"/>
          <w:lang w:eastAsia="zh-CN"/>
        </w:rPr>
        <w:t>的要求。</w:t>
      </w:r>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所以</w:t>
      </w:r>
      <w:r>
        <w:rPr>
          <w:rFonts w:hint="eastAsia" w:ascii="宋体" w:hAnsi="宋体" w:eastAsia="宋体" w:cs="宋体"/>
          <w:color w:val="auto"/>
          <w:sz w:val="24"/>
          <w:szCs w:val="24"/>
          <w:lang w:eastAsia="zh-CN"/>
        </w:rPr>
        <w:t>本部分</w:t>
      </w:r>
      <w:r>
        <w:rPr>
          <w:rFonts w:hint="eastAsia" w:ascii="宋体" w:hAnsi="宋体" w:eastAsia="宋体" w:cs="宋体"/>
          <w:color w:val="auto"/>
          <w:sz w:val="24"/>
          <w:szCs w:val="24"/>
          <w:lang w:val="en-US" w:eastAsia="zh-CN"/>
        </w:rPr>
        <w:t>根据现行法律法规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规定</w:t>
      </w:r>
      <w:r>
        <w:rPr>
          <w:rFonts w:hint="eastAsia" w:ascii="宋体" w:hAnsi="宋体" w:eastAsia="宋体" w:cs="宋体"/>
          <w:color w:val="auto"/>
          <w:sz w:val="24"/>
          <w:szCs w:val="24"/>
          <w:lang w:eastAsia="zh-CN"/>
        </w:rPr>
        <w:t>了建筑材料生产企业</w:t>
      </w:r>
      <w:r>
        <w:rPr>
          <w:rFonts w:hint="eastAsia" w:ascii="宋体" w:hAnsi="宋体" w:eastAsia="宋体" w:cs="宋体"/>
          <w:color w:val="auto"/>
          <w:sz w:val="24"/>
          <w:szCs w:val="24"/>
          <w:lang w:val="en-US" w:eastAsia="zh-CN"/>
        </w:rPr>
        <w:t>产生</w:t>
      </w:r>
      <w:r>
        <w:rPr>
          <w:rFonts w:hint="eastAsia" w:ascii="宋体" w:hAnsi="宋体" w:eastAsia="宋体" w:cs="宋体"/>
          <w:color w:val="auto"/>
          <w:sz w:val="24"/>
          <w:szCs w:val="24"/>
          <w:lang w:eastAsia="zh-CN"/>
        </w:rPr>
        <w:t>固</w:t>
      </w:r>
      <w:r>
        <w:rPr>
          <w:rFonts w:hint="eastAsia" w:ascii="宋体" w:hAnsi="宋体" w:eastAsia="宋体" w:cs="宋体"/>
          <w:color w:val="auto"/>
          <w:sz w:val="24"/>
          <w:szCs w:val="24"/>
          <w:lang w:val="en-US" w:eastAsia="zh-CN"/>
        </w:rPr>
        <w:t>体</w:t>
      </w:r>
      <w:r>
        <w:rPr>
          <w:rFonts w:hint="eastAsia" w:ascii="宋体" w:hAnsi="宋体" w:eastAsia="宋体" w:cs="宋体"/>
          <w:color w:val="auto"/>
          <w:sz w:val="24"/>
          <w:szCs w:val="24"/>
          <w:lang w:eastAsia="zh-CN"/>
        </w:rPr>
        <w:t>废物</w:t>
      </w:r>
      <w:r>
        <w:rPr>
          <w:rFonts w:hint="eastAsia" w:ascii="宋体" w:hAnsi="宋体" w:eastAsia="宋体" w:cs="宋体"/>
          <w:color w:val="auto"/>
          <w:sz w:val="24"/>
          <w:szCs w:val="24"/>
          <w:lang w:val="en-US" w:eastAsia="zh-CN"/>
        </w:rPr>
        <w:t>的来源应符合国家法律法规要求，</w:t>
      </w:r>
      <w:r>
        <w:rPr>
          <w:rFonts w:hint="eastAsia" w:ascii="宋体" w:hAnsi="宋体" w:eastAsia="宋体" w:cs="宋体"/>
          <w:color w:val="auto"/>
          <w:sz w:val="24"/>
          <w:szCs w:val="24"/>
          <w:lang w:eastAsia="zh-CN"/>
        </w:rPr>
        <w:t>进口的固体废物</w:t>
      </w:r>
      <w:r>
        <w:rPr>
          <w:rFonts w:hint="eastAsia" w:ascii="宋体" w:hAnsi="宋体" w:eastAsia="宋体" w:cs="宋体"/>
          <w:color w:val="auto"/>
          <w:sz w:val="24"/>
          <w:szCs w:val="24"/>
          <w:lang w:val="en-US" w:eastAsia="zh-CN"/>
        </w:rPr>
        <w:t>应</w:t>
      </w:r>
      <w:r>
        <w:rPr>
          <w:rFonts w:hint="eastAsia" w:ascii="宋体" w:hAnsi="宋体" w:eastAsia="宋体" w:cs="宋体"/>
          <w:color w:val="auto"/>
          <w:sz w:val="24"/>
          <w:szCs w:val="24"/>
          <w:lang w:eastAsia="zh-CN"/>
        </w:rPr>
        <w:t>符合国家环境保护标准，并经质量监督检验检疫部门检验合格。</w:t>
      </w:r>
    </w:p>
    <w:p>
      <w:pPr>
        <w:pStyle w:val="3"/>
        <w:rPr>
          <w:rFonts w:hint="eastAsia" w:ascii="Times New Roman" w:hAnsi="Times New Roman" w:eastAsia="黑体"/>
          <w:bCs w:val="0"/>
          <w:color w:val="auto"/>
          <w:sz w:val="24"/>
          <w:szCs w:val="24"/>
          <w:lang w:val="en-US" w:eastAsia="zh-CN"/>
        </w:rPr>
      </w:pPr>
      <w:bookmarkStart w:id="27" w:name="_Toc21875"/>
      <w:r>
        <w:rPr>
          <w:rFonts w:hint="eastAsia" w:ascii="Times New Roman" w:hAnsi="Times New Roman" w:eastAsia="黑体"/>
          <w:bCs w:val="0"/>
          <w:color w:val="auto"/>
          <w:sz w:val="24"/>
          <w:szCs w:val="24"/>
          <w:lang w:val="en-US" w:eastAsia="zh-CN"/>
        </w:rPr>
        <w:t xml:space="preserve">6 </w:t>
      </w:r>
      <w:r>
        <w:rPr>
          <w:rFonts w:hint="eastAsia" w:ascii="Times New Roman" w:hAnsi="Times New Roman" w:eastAsia="黑体"/>
          <w:bCs w:val="0"/>
          <w:color w:val="auto"/>
          <w:sz w:val="24"/>
          <w:szCs w:val="24"/>
        </w:rPr>
        <w:t xml:space="preserve"> </w:t>
      </w:r>
      <w:r>
        <w:rPr>
          <w:rFonts w:hint="eastAsia" w:ascii="Times New Roman" w:hAnsi="Times New Roman" w:eastAsia="黑体"/>
          <w:bCs w:val="0"/>
          <w:color w:val="auto"/>
          <w:sz w:val="24"/>
          <w:szCs w:val="24"/>
          <w:lang w:val="en-US" w:eastAsia="zh-CN"/>
        </w:rPr>
        <w:t>贮存及处置场所要求</w:t>
      </w:r>
      <w:bookmarkEnd w:id="27"/>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因《中华人民共和国环境保护税法》规定，企业事业单位和其他生产经营者贮存或者处置固体废物不符合国家和地方环境保护标准的，应当缴纳环境保护税，所以，</w:t>
      </w:r>
      <w:r>
        <w:rPr>
          <w:rFonts w:hint="eastAsia" w:ascii="宋体" w:hAnsi="宋体" w:eastAsia="宋体" w:cs="宋体"/>
          <w:color w:val="auto"/>
          <w:sz w:val="24"/>
          <w:szCs w:val="24"/>
          <w:lang w:eastAsia="zh-CN"/>
        </w:rPr>
        <w:t>本部分</w:t>
      </w:r>
      <w:r>
        <w:rPr>
          <w:rFonts w:hint="eastAsia" w:ascii="宋体" w:hAnsi="宋体" w:cs="宋体"/>
          <w:color w:val="auto"/>
          <w:sz w:val="24"/>
          <w:szCs w:val="24"/>
          <w:lang w:eastAsia="zh-CN"/>
        </w:rPr>
        <w:t>引用</w:t>
      </w:r>
      <w:r>
        <w:rPr>
          <w:rFonts w:hint="eastAsia" w:ascii="宋体" w:hAnsi="宋体" w:cs="宋体"/>
          <w:color w:val="auto"/>
          <w:sz w:val="24"/>
          <w:szCs w:val="24"/>
          <w:lang w:val="en-US" w:eastAsia="zh-CN"/>
        </w:rPr>
        <w:t>了GB 18599作为</w:t>
      </w:r>
      <w:r>
        <w:rPr>
          <w:rFonts w:hint="eastAsia" w:ascii="宋体" w:hAnsi="宋体" w:eastAsia="宋体" w:cs="宋体"/>
          <w:color w:val="auto"/>
          <w:sz w:val="24"/>
          <w:szCs w:val="24"/>
          <w:lang w:eastAsia="zh-CN"/>
        </w:rPr>
        <w:t>建筑材料生产企业</w:t>
      </w:r>
      <w:r>
        <w:rPr>
          <w:rFonts w:hint="eastAsia" w:ascii="宋体" w:hAnsi="宋体" w:cs="宋体"/>
          <w:color w:val="auto"/>
          <w:sz w:val="24"/>
          <w:szCs w:val="24"/>
          <w:lang w:eastAsia="zh-CN"/>
        </w:rPr>
        <w:t>贮存及处置场所要求，并特别提出</w:t>
      </w:r>
      <w:r>
        <w:rPr>
          <w:rFonts w:hint="eastAsia" w:ascii="宋体" w:hAnsi="宋体" w:cs="宋体"/>
          <w:color w:val="auto"/>
          <w:sz w:val="24"/>
          <w:szCs w:val="24"/>
          <w:lang w:val="en-US" w:eastAsia="zh-CN"/>
        </w:rPr>
        <w:t>应</w:t>
      </w:r>
      <w:r>
        <w:rPr>
          <w:rFonts w:hint="eastAsia" w:ascii="宋体" w:hAnsi="宋体" w:eastAsia="宋体" w:cs="宋体"/>
          <w:color w:val="auto"/>
          <w:sz w:val="24"/>
          <w:szCs w:val="24"/>
          <w:lang w:eastAsia="zh-CN"/>
        </w:rPr>
        <w:t>将综合利用固废物和其它生产原辅材料分别存放，防止混料</w:t>
      </w:r>
      <w:r>
        <w:rPr>
          <w:rFonts w:hint="eastAsia" w:ascii="宋体" w:hAnsi="宋体" w:cs="宋体"/>
          <w:color w:val="auto"/>
          <w:sz w:val="24"/>
          <w:szCs w:val="24"/>
          <w:lang w:eastAsia="zh-CN"/>
        </w:rPr>
        <w:t>。</w:t>
      </w:r>
    </w:p>
    <w:p>
      <w:pPr>
        <w:pStyle w:val="3"/>
        <w:rPr>
          <w:rFonts w:hint="eastAsia" w:ascii="Times New Roman" w:hAnsi="Times New Roman" w:eastAsia="黑体"/>
          <w:bCs w:val="0"/>
          <w:color w:val="auto"/>
          <w:sz w:val="24"/>
          <w:szCs w:val="24"/>
          <w:lang w:val="en-US" w:eastAsia="zh-CN"/>
        </w:rPr>
      </w:pPr>
      <w:bookmarkStart w:id="28" w:name="_Toc12219"/>
      <w:r>
        <w:rPr>
          <w:rFonts w:hint="eastAsia" w:ascii="Times New Roman" w:hAnsi="Times New Roman" w:eastAsia="黑体"/>
          <w:bCs w:val="0"/>
          <w:color w:val="auto"/>
          <w:sz w:val="24"/>
          <w:szCs w:val="24"/>
          <w:lang w:val="en-US" w:eastAsia="zh-CN"/>
        </w:rPr>
        <w:t>7</w:t>
      </w:r>
      <w:r>
        <w:rPr>
          <w:rFonts w:hint="eastAsia" w:ascii="Times New Roman" w:hAnsi="Times New Roman" w:eastAsia="黑体"/>
          <w:bCs w:val="0"/>
          <w:color w:val="auto"/>
          <w:sz w:val="24"/>
          <w:szCs w:val="24"/>
        </w:rPr>
        <w:t xml:space="preserve"> </w:t>
      </w:r>
      <w:r>
        <w:rPr>
          <w:rFonts w:hint="eastAsia" w:ascii="Times New Roman" w:hAnsi="Times New Roman" w:eastAsia="黑体"/>
          <w:bCs w:val="0"/>
          <w:color w:val="auto"/>
          <w:sz w:val="24"/>
          <w:szCs w:val="24"/>
          <w:lang w:val="en-US" w:eastAsia="zh-CN"/>
        </w:rPr>
        <w:t xml:space="preserve"> 计量器具要求</w:t>
      </w:r>
      <w:bookmarkEnd w:id="28"/>
    </w:p>
    <w:p>
      <w:pPr>
        <w:pageBreakBefore w:val="0"/>
        <w:kinsoku/>
        <w:wordWrap/>
        <w:overflowPunct/>
        <w:topLinePunct w:val="0"/>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eastAsia="zh-CN"/>
        </w:rPr>
        <w:t>在固体废物综合利用时，</w:t>
      </w:r>
      <w:r>
        <w:rPr>
          <w:rFonts w:hint="eastAsia" w:ascii="宋体" w:hAnsi="宋体" w:cs="宋体"/>
          <w:color w:val="auto"/>
          <w:sz w:val="24"/>
          <w:szCs w:val="24"/>
          <w:lang w:val="en-US" w:eastAsia="zh-CN"/>
        </w:rPr>
        <w:t>建材生产企业</w:t>
      </w:r>
      <w:r>
        <w:rPr>
          <w:rFonts w:hint="eastAsia" w:ascii="宋体" w:hAnsi="宋体" w:eastAsia="宋体" w:cs="宋体"/>
          <w:color w:val="auto"/>
          <w:sz w:val="24"/>
          <w:szCs w:val="24"/>
          <w:lang w:val="en-US" w:eastAsia="zh-CN"/>
        </w:rPr>
        <w:t>固体废物的接收量、贮存量、处置量、综合利用量、转移量</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lang w:val="en-US" w:eastAsia="zh-CN"/>
        </w:rPr>
        <w:t>准确计量</w:t>
      </w:r>
      <w:r>
        <w:rPr>
          <w:rFonts w:hint="eastAsia" w:ascii="宋体" w:hAnsi="宋体" w:cs="宋体"/>
          <w:color w:val="auto"/>
          <w:sz w:val="24"/>
          <w:szCs w:val="24"/>
          <w:lang w:val="en-US" w:eastAsia="zh-CN"/>
        </w:rPr>
        <w:t>是重中之重。为了使上述数值精准计量，</w:t>
      </w:r>
      <w:r>
        <w:rPr>
          <w:rFonts w:hint="eastAsia" w:ascii="宋体" w:hAnsi="宋体" w:eastAsia="宋体" w:cs="宋体"/>
          <w:color w:val="auto"/>
          <w:sz w:val="24"/>
          <w:szCs w:val="24"/>
          <w:lang w:eastAsia="zh-CN"/>
        </w:rPr>
        <w:t>本部分</w:t>
      </w:r>
      <w:r>
        <w:rPr>
          <w:rFonts w:hint="eastAsia" w:ascii="宋体" w:hAnsi="宋体" w:cs="宋体"/>
          <w:color w:val="auto"/>
          <w:sz w:val="24"/>
          <w:szCs w:val="24"/>
          <w:lang w:eastAsia="zh-CN"/>
        </w:rPr>
        <w:t>对</w:t>
      </w:r>
      <w:r>
        <w:rPr>
          <w:rFonts w:hint="eastAsia" w:ascii="宋体" w:hAnsi="宋体" w:eastAsia="宋体" w:cs="宋体"/>
          <w:color w:val="auto"/>
          <w:sz w:val="24"/>
          <w:szCs w:val="24"/>
          <w:lang w:eastAsia="zh-CN"/>
        </w:rPr>
        <w:t>建筑材料生产企业</w:t>
      </w:r>
      <w:r>
        <w:rPr>
          <w:rFonts w:hint="eastAsia" w:ascii="宋体" w:hAnsi="宋体" w:cs="宋体"/>
          <w:color w:val="auto"/>
          <w:sz w:val="24"/>
          <w:szCs w:val="24"/>
          <w:lang w:eastAsia="zh-CN"/>
        </w:rPr>
        <w:t>的</w:t>
      </w:r>
      <w:r>
        <w:rPr>
          <w:rFonts w:hint="eastAsia" w:ascii="宋体" w:hAnsi="宋体" w:eastAsia="宋体" w:cs="宋体"/>
          <w:color w:val="auto"/>
          <w:sz w:val="24"/>
          <w:szCs w:val="24"/>
          <w:lang w:eastAsia="zh-CN"/>
        </w:rPr>
        <w:t>计量器具</w:t>
      </w:r>
      <w:r>
        <w:rPr>
          <w:rFonts w:hint="eastAsia" w:ascii="宋体" w:hAnsi="宋体" w:cs="宋体"/>
          <w:color w:val="auto"/>
          <w:sz w:val="24"/>
          <w:szCs w:val="24"/>
          <w:lang w:eastAsia="zh-CN"/>
        </w:rPr>
        <w:t>作出了</w:t>
      </w:r>
      <w:r>
        <w:rPr>
          <w:rFonts w:hint="eastAsia" w:ascii="宋体" w:hAnsi="宋体" w:eastAsia="宋体" w:cs="宋体"/>
          <w:color w:val="auto"/>
          <w:sz w:val="24"/>
          <w:szCs w:val="24"/>
          <w:lang w:eastAsia="zh-CN"/>
        </w:rPr>
        <w:t>要求。</w:t>
      </w:r>
      <w:r>
        <w:rPr>
          <w:rFonts w:hint="eastAsia" w:ascii="宋体" w:hAnsi="宋体" w:cs="宋体"/>
          <w:color w:val="auto"/>
          <w:sz w:val="24"/>
          <w:szCs w:val="24"/>
          <w:lang w:eastAsia="zh-CN"/>
        </w:rPr>
        <w:t>计量器具首先应符合国家相关标准，为了保证计量器具的</w:t>
      </w:r>
      <w:r>
        <w:rPr>
          <w:rFonts w:hint="eastAsia" w:ascii="宋体" w:hAnsi="宋体" w:eastAsia="宋体" w:cs="宋体"/>
          <w:color w:val="auto"/>
          <w:sz w:val="24"/>
          <w:szCs w:val="24"/>
          <w:lang w:eastAsia="zh-CN"/>
        </w:rPr>
        <w:t>可追溯性、联网互通性和可信性，还要求</w:t>
      </w:r>
      <w:r>
        <w:rPr>
          <w:rFonts w:hint="eastAsia" w:ascii="宋体" w:hAnsi="宋体" w:eastAsia="宋体" w:cs="宋体"/>
          <w:color w:val="auto"/>
          <w:sz w:val="24"/>
          <w:szCs w:val="24"/>
          <w:lang w:val="en-US" w:eastAsia="zh-CN"/>
        </w:rPr>
        <w:t>对固体废物进行计量的计量器具需定期校准、配备联网通讯装置，并实时监控。为了确保对采集、储存、上传的计量信息的不可篡改，要求企业需附加一个物理级别的、不可篡改的嵌入式身份证书（或者芯片）</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由该设备产生的数据，在上传到固体废物综合利用存证平台时，</w:t>
      </w:r>
      <w:r>
        <w:rPr>
          <w:rFonts w:hint="eastAsia" w:ascii="宋体" w:hAnsi="宋体" w:cs="宋体"/>
          <w:color w:val="auto"/>
          <w:sz w:val="24"/>
          <w:szCs w:val="24"/>
          <w:lang w:val="en-US" w:eastAsia="zh-CN"/>
        </w:rPr>
        <w:t>可以通过该身份证书（私钥）对上传的并由该设备产生的所有数据进行签名。</w:t>
      </w:r>
    </w:p>
    <w:p>
      <w:pPr>
        <w:pageBreakBefore w:val="0"/>
        <w:kinsoku/>
        <w:wordWrap/>
        <w:overflowPunct/>
        <w:topLinePunct w:val="0"/>
        <w:bidi w:val="0"/>
        <w:adjustRightInd/>
        <w:snapToGrid/>
        <w:spacing w:line="360" w:lineRule="auto"/>
        <w:ind w:firstLine="480" w:firstLineChars="200"/>
        <w:textAlignment w:val="auto"/>
        <w:rPr>
          <w:rFonts w:hint="eastAsia"/>
          <w:color w:val="auto"/>
          <w:lang w:val="en-US" w:eastAsia="zh-CN"/>
        </w:rPr>
      </w:pPr>
      <w:r>
        <w:rPr>
          <w:rFonts w:hint="eastAsia" w:ascii="宋体" w:hAnsi="宋体" w:cs="宋体"/>
          <w:color w:val="auto"/>
          <w:sz w:val="24"/>
          <w:szCs w:val="24"/>
          <w:lang w:val="en-US" w:eastAsia="zh-CN"/>
        </w:rPr>
        <w:t>标准中要求</w:t>
      </w:r>
      <w:r>
        <w:rPr>
          <w:rFonts w:hint="eastAsia" w:ascii="宋体" w:hAnsi="宋体" w:eastAsia="宋体" w:cs="宋体"/>
          <w:color w:val="auto"/>
          <w:sz w:val="24"/>
          <w:szCs w:val="24"/>
          <w:lang w:eastAsia="zh-CN"/>
        </w:rPr>
        <w:t>证据资料至少</w:t>
      </w:r>
      <w:r>
        <w:rPr>
          <w:rFonts w:hint="eastAsia" w:ascii="宋体" w:hAnsi="宋体" w:cs="宋体"/>
          <w:color w:val="auto"/>
          <w:sz w:val="24"/>
          <w:szCs w:val="24"/>
          <w:lang w:val="en-US" w:eastAsia="zh-CN"/>
        </w:rPr>
        <w:t>保存5</w:t>
      </w:r>
      <w:r>
        <w:rPr>
          <w:rFonts w:hint="eastAsia" w:ascii="宋体" w:hAnsi="宋体" w:cs="宋体"/>
          <w:color w:val="auto"/>
          <w:sz w:val="24"/>
          <w:szCs w:val="24"/>
          <w:lang w:eastAsia="zh-CN"/>
        </w:rPr>
        <w:t>年以上，</w:t>
      </w:r>
      <w:r>
        <w:rPr>
          <w:rFonts w:hint="eastAsia" w:ascii="宋体" w:hAnsi="宋体" w:cs="宋体"/>
          <w:color w:val="auto"/>
          <w:sz w:val="24"/>
          <w:szCs w:val="24"/>
          <w:lang w:val="en-US" w:eastAsia="zh-CN"/>
        </w:rPr>
        <w:t>主要考虑了这些</w:t>
      </w:r>
      <w:r>
        <w:rPr>
          <w:rFonts w:hint="eastAsia" w:ascii="宋体" w:hAnsi="宋体" w:eastAsia="宋体" w:cs="宋体"/>
          <w:color w:val="auto"/>
          <w:sz w:val="24"/>
          <w:szCs w:val="24"/>
          <w:lang w:eastAsia="zh-CN"/>
        </w:rPr>
        <w:t>证据资料</w:t>
      </w:r>
      <w:r>
        <w:rPr>
          <w:rFonts w:hint="eastAsia" w:ascii="宋体" w:hAnsi="宋体" w:cs="宋体"/>
          <w:color w:val="auto"/>
          <w:sz w:val="24"/>
          <w:szCs w:val="24"/>
          <w:lang w:val="en-US" w:eastAsia="zh-CN"/>
        </w:rPr>
        <w:t>的时效性，该年限的设定参考《中华人民共和国税收征收管理法》(第十二届全国人民代表大会常务委员会第十四次会议修改)第八十六条规定：“违反税收法律、行政法规应当给予行政处罚的行为，在五年内未被发现的，不再给予行政处罚。”</w:t>
      </w:r>
    </w:p>
    <w:p>
      <w:pPr>
        <w:pStyle w:val="3"/>
        <w:rPr>
          <w:rFonts w:hint="eastAsia" w:ascii="Times New Roman" w:hAnsi="Times New Roman" w:eastAsia="黑体"/>
          <w:bCs w:val="0"/>
          <w:color w:val="auto"/>
          <w:sz w:val="24"/>
          <w:szCs w:val="24"/>
          <w:lang w:val="en-US" w:eastAsia="zh-CN"/>
        </w:rPr>
      </w:pPr>
      <w:bookmarkStart w:id="29" w:name="_Toc205"/>
      <w:r>
        <w:rPr>
          <w:rFonts w:hint="eastAsia" w:ascii="Times New Roman" w:hAnsi="Times New Roman" w:eastAsia="黑体"/>
          <w:bCs w:val="0"/>
          <w:color w:val="auto"/>
          <w:sz w:val="24"/>
          <w:szCs w:val="24"/>
          <w:lang w:val="en-US" w:eastAsia="zh-CN"/>
        </w:rPr>
        <w:t>8</w:t>
      </w:r>
      <w:r>
        <w:rPr>
          <w:rFonts w:hint="eastAsia" w:ascii="Times New Roman" w:hAnsi="Times New Roman" w:eastAsia="黑体"/>
          <w:bCs w:val="0"/>
          <w:color w:val="auto"/>
          <w:sz w:val="24"/>
          <w:szCs w:val="24"/>
        </w:rPr>
        <w:t xml:space="preserve"> </w:t>
      </w:r>
      <w:r>
        <w:rPr>
          <w:rFonts w:hint="eastAsia" w:ascii="Times New Roman" w:hAnsi="Times New Roman" w:eastAsia="黑体"/>
          <w:bCs w:val="0"/>
          <w:color w:val="auto"/>
          <w:sz w:val="24"/>
          <w:szCs w:val="24"/>
          <w:lang w:val="en-US" w:eastAsia="zh-CN"/>
        </w:rPr>
        <w:t xml:space="preserve"> 综合利用要求</w:t>
      </w:r>
      <w:bookmarkEnd w:id="29"/>
    </w:p>
    <w:p>
      <w:pPr>
        <w:pageBreakBefore w:val="0"/>
        <w:kinsoku/>
        <w:wordWrap/>
        <w:overflowPunct/>
        <w:topLinePunct w:val="0"/>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eastAsia="zh-CN"/>
        </w:rPr>
        <w:t>本部分参考了</w:t>
      </w:r>
      <w:r>
        <w:rPr>
          <w:rFonts w:hint="eastAsia" w:ascii="宋体" w:hAnsi="宋体" w:cs="宋体"/>
          <w:color w:val="auto"/>
          <w:sz w:val="24"/>
          <w:szCs w:val="24"/>
          <w:lang w:val="en-US" w:eastAsia="zh-CN"/>
        </w:rPr>
        <w:t>GB/T 30760、HJ 1091等对</w:t>
      </w:r>
      <w:r>
        <w:rPr>
          <w:rFonts w:hint="eastAsia" w:ascii="宋体" w:hAnsi="宋体" w:eastAsia="宋体" w:cs="宋体"/>
          <w:color w:val="auto"/>
          <w:sz w:val="24"/>
          <w:szCs w:val="24"/>
          <w:lang w:eastAsia="zh-CN"/>
        </w:rPr>
        <w:t>建筑材料生产企业综合利用</w:t>
      </w:r>
      <w:r>
        <w:rPr>
          <w:rFonts w:hint="eastAsia" w:ascii="宋体" w:hAnsi="宋体" w:cs="宋体"/>
          <w:color w:val="auto"/>
          <w:sz w:val="24"/>
          <w:szCs w:val="24"/>
          <w:lang w:eastAsia="zh-CN"/>
        </w:rPr>
        <w:t>的</w:t>
      </w:r>
      <w:r>
        <w:rPr>
          <w:rFonts w:hint="eastAsia" w:ascii="宋体" w:hAnsi="宋体" w:eastAsia="宋体" w:cs="宋体"/>
          <w:color w:val="auto"/>
          <w:sz w:val="24"/>
          <w:szCs w:val="24"/>
          <w:lang w:eastAsia="zh-CN"/>
        </w:rPr>
        <w:t>固</w:t>
      </w:r>
      <w:r>
        <w:rPr>
          <w:rFonts w:hint="eastAsia" w:ascii="宋体" w:hAnsi="宋体" w:eastAsia="宋体" w:cs="宋体"/>
          <w:color w:val="auto"/>
          <w:sz w:val="24"/>
          <w:szCs w:val="24"/>
          <w:lang w:val="en-US" w:eastAsia="zh-CN"/>
        </w:rPr>
        <w:t>体</w:t>
      </w:r>
      <w:r>
        <w:rPr>
          <w:rFonts w:hint="eastAsia" w:ascii="宋体" w:hAnsi="宋体" w:eastAsia="宋体" w:cs="宋体"/>
          <w:color w:val="auto"/>
          <w:sz w:val="24"/>
          <w:szCs w:val="24"/>
          <w:lang w:eastAsia="zh-CN"/>
        </w:rPr>
        <w:t>废物</w:t>
      </w:r>
      <w:r>
        <w:rPr>
          <w:rFonts w:hint="eastAsia" w:ascii="宋体" w:hAnsi="宋体" w:cs="宋体"/>
          <w:color w:val="auto"/>
          <w:sz w:val="24"/>
          <w:szCs w:val="24"/>
          <w:lang w:eastAsia="zh-CN"/>
        </w:rPr>
        <w:t>的处理、投料作出了要求，对生产出的综合利用产品应满足的</w:t>
      </w:r>
      <w:r>
        <w:rPr>
          <w:rFonts w:hint="eastAsia" w:ascii="宋体" w:hAnsi="宋体" w:eastAsia="宋体" w:cs="宋体"/>
          <w:color w:val="auto"/>
          <w:sz w:val="24"/>
          <w:szCs w:val="24"/>
          <w:lang w:eastAsia="zh-CN"/>
        </w:rPr>
        <w:t>技术</w:t>
      </w:r>
      <w:r>
        <w:rPr>
          <w:rFonts w:hint="eastAsia" w:ascii="宋体" w:hAnsi="宋体" w:cs="宋体"/>
          <w:color w:val="auto"/>
          <w:sz w:val="24"/>
          <w:szCs w:val="24"/>
          <w:lang w:eastAsia="zh-CN"/>
        </w:rPr>
        <w:t>、质量条件作出了规定，</w:t>
      </w:r>
      <w:r>
        <w:rPr>
          <w:rFonts w:hint="eastAsia" w:ascii="宋体" w:hAnsi="宋体" w:cs="宋体"/>
          <w:color w:val="auto"/>
          <w:sz w:val="24"/>
          <w:szCs w:val="24"/>
          <w:lang w:val="en-US" w:eastAsia="zh-CN"/>
        </w:rPr>
        <w:t>确保固废综合利用能满足国家有关政策要求。</w:t>
      </w:r>
    </w:p>
    <w:p>
      <w:pPr>
        <w:pageBreakBefore w:val="0"/>
        <w:kinsoku/>
        <w:wordWrap/>
        <w:overflowPunct/>
        <w:topLinePunct w:val="0"/>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并且，综合利用固体废物的产品应不属于国家发展改革委《产业结构调整指导目录（2019年本）》中的禁止类、限制类项目，应不属于环境保护主管部门《环境保护综合名录（2017年本）》中的“高污染、高环境风险”产品或者重污染工艺。</w:t>
      </w:r>
    </w:p>
    <w:p>
      <w:pPr>
        <w:pageBreakBefore w:val="0"/>
        <w:kinsoku/>
        <w:wordWrap/>
        <w:overflowPunct/>
        <w:topLinePunct w:val="0"/>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本部分还强调了</w:t>
      </w:r>
      <w:r>
        <w:rPr>
          <w:rFonts w:hint="eastAsia" w:ascii="宋体" w:hAnsi="宋体" w:eastAsia="宋体" w:cs="宋体"/>
          <w:color w:val="auto"/>
          <w:sz w:val="24"/>
          <w:szCs w:val="24"/>
          <w:lang w:eastAsia="zh-CN"/>
        </w:rPr>
        <w:t>生产过程管理</w:t>
      </w:r>
      <w:r>
        <w:rPr>
          <w:rFonts w:hint="eastAsia" w:ascii="宋体" w:hAnsi="宋体" w:cs="宋体"/>
          <w:color w:val="auto"/>
          <w:sz w:val="24"/>
          <w:szCs w:val="24"/>
          <w:lang w:val="en-US" w:eastAsia="zh-CN"/>
        </w:rPr>
        <w:t>中</w:t>
      </w:r>
      <w:r>
        <w:rPr>
          <w:rFonts w:hint="eastAsia" w:ascii="宋体" w:hAnsi="宋体" w:eastAsia="宋体" w:cs="宋体"/>
          <w:color w:val="auto"/>
          <w:sz w:val="24"/>
          <w:szCs w:val="24"/>
          <w:lang w:eastAsia="zh-CN"/>
        </w:rPr>
        <w:t>建立可追溯的产品生产记录</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其中，</w:t>
      </w:r>
      <w:r>
        <w:rPr>
          <w:rFonts w:hint="eastAsia" w:ascii="宋体" w:hAnsi="宋体" w:eastAsia="宋体" w:cs="宋体"/>
          <w:color w:val="auto"/>
          <w:sz w:val="24"/>
          <w:szCs w:val="24"/>
          <w:lang w:eastAsia="zh-CN"/>
        </w:rPr>
        <w:t>配料方案等记录信息</w:t>
      </w:r>
      <w:r>
        <w:rPr>
          <w:rFonts w:hint="eastAsia" w:ascii="宋体" w:hAnsi="宋体" w:cs="宋体"/>
          <w:color w:val="auto"/>
          <w:sz w:val="24"/>
          <w:szCs w:val="24"/>
          <w:lang w:val="en-US" w:eastAsia="zh-CN"/>
        </w:rPr>
        <w:t>属于固废综合利用重要信息，需要保存备查。</w:t>
      </w:r>
    </w:p>
    <w:p>
      <w:pPr>
        <w:pStyle w:val="3"/>
        <w:rPr>
          <w:rFonts w:hint="eastAsia" w:ascii="Times New Roman" w:hAnsi="Times New Roman" w:eastAsia="黑体"/>
          <w:bCs w:val="0"/>
          <w:color w:val="auto"/>
          <w:sz w:val="24"/>
          <w:szCs w:val="24"/>
          <w:lang w:val="en-US" w:eastAsia="zh-CN"/>
        </w:rPr>
      </w:pPr>
      <w:bookmarkStart w:id="30" w:name="_Toc4936"/>
      <w:r>
        <w:rPr>
          <w:rFonts w:hint="eastAsia" w:ascii="Times New Roman" w:hAnsi="Times New Roman" w:eastAsia="黑体"/>
          <w:bCs w:val="0"/>
          <w:color w:val="auto"/>
          <w:sz w:val="24"/>
          <w:szCs w:val="24"/>
          <w:lang w:val="en-US" w:eastAsia="zh-CN"/>
        </w:rPr>
        <w:t>9</w:t>
      </w:r>
      <w:r>
        <w:rPr>
          <w:rFonts w:hint="eastAsia" w:ascii="Times New Roman" w:hAnsi="Times New Roman" w:eastAsia="黑体"/>
          <w:bCs w:val="0"/>
          <w:color w:val="auto"/>
          <w:sz w:val="24"/>
          <w:szCs w:val="24"/>
        </w:rPr>
        <w:t xml:space="preserve"> </w:t>
      </w:r>
      <w:r>
        <w:rPr>
          <w:rFonts w:hint="eastAsia" w:ascii="Times New Roman" w:hAnsi="Times New Roman" w:eastAsia="黑体"/>
          <w:bCs w:val="0"/>
          <w:color w:val="auto"/>
          <w:sz w:val="24"/>
          <w:szCs w:val="24"/>
          <w:lang w:val="en-US" w:eastAsia="zh-CN"/>
        </w:rPr>
        <w:t xml:space="preserve"> 库存盘点要求</w:t>
      </w:r>
      <w:bookmarkEnd w:id="30"/>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对</w:t>
      </w:r>
      <w:r>
        <w:rPr>
          <w:rFonts w:hint="eastAsia" w:ascii="宋体" w:hAnsi="宋体" w:eastAsia="宋体" w:cs="宋体"/>
          <w:color w:val="auto"/>
          <w:sz w:val="24"/>
          <w:szCs w:val="24"/>
          <w:lang w:eastAsia="zh-CN"/>
        </w:rPr>
        <w:t>固</w:t>
      </w:r>
      <w:r>
        <w:rPr>
          <w:rFonts w:hint="eastAsia" w:ascii="宋体" w:hAnsi="宋体" w:eastAsia="宋体" w:cs="宋体"/>
          <w:color w:val="auto"/>
          <w:sz w:val="24"/>
          <w:szCs w:val="24"/>
          <w:lang w:val="en-US" w:eastAsia="zh-CN"/>
        </w:rPr>
        <w:t>体</w:t>
      </w:r>
      <w:r>
        <w:rPr>
          <w:rFonts w:hint="eastAsia" w:ascii="宋体" w:hAnsi="宋体" w:eastAsia="宋体" w:cs="宋体"/>
          <w:color w:val="auto"/>
          <w:sz w:val="24"/>
          <w:szCs w:val="24"/>
          <w:lang w:eastAsia="zh-CN"/>
        </w:rPr>
        <w:t>废物贮存量</w:t>
      </w:r>
      <w:r>
        <w:rPr>
          <w:rFonts w:hint="eastAsia" w:ascii="宋体" w:hAnsi="宋体" w:eastAsia="宋体" w:cs="宋体"/>
          <w:color w:val="auto"/>
          <w:sz w:val="24"/>
          <w:szCs w:val="24"/>
          <w:lang w:val="en-US" w:eastAsia="zh-CN"/>
        </w:rPr>
        <w:t>进行</w:t>
      </w:r>
      <w:r>
        <w:rPr>
          <w:rFonts w:hint="eastAsia" w:ascii="宋体" w:hAnsi="宋体" w:eastAsia="宋体" w:cs="宋体"/>
          <w:color w:val="auto"/>
          <w:sz w:val="24"/>
          <w:szCs w:val="24"/>
          <w:lang w:eastAsia="zh-CN"/>
        </w:rPr>
        <w:t>库存盘点</w:t>
      </w:r>
      <w:r>
        <w:rPr>
          <w:rFonts w:hint="eastAsia" w:ascii="宋体" w:hAnsi="宋体" w:eastAsia="宋体" w:cs="宋体"/>
          <w:color w:val="auto"/>
          <w:sz w:val="24"/>
          <w:szCs w:val="24"/>
          <w:lang w:val="en-US" w:eastAsia="zh-CN"/>
        </w:rPr>
        <w:t>主要是为了</w:t>
      </w:r>
      <w:r>
        <w:rPr>
          <w:rFonts w:hint="eastAsia" w:ascii="宋体" w:hAnsi="宋体" w:cs="宋体"/>
          <w:color w:val="auto"/>
          <w:sz w:val="24"/>
          <w:szCs w:val="24"/>
          <w:lang w:val="en-US" w:eastAsia="zh-CN"/>
        </w:rPr>
        <w:t>确保</w:t>
      </w:r>
      <w:r>
        <w:rPr>
          <w:rFonts w:hint="eastAsia" w:ascii="宋体" w:hAnsi="宋体" w:eastAsia="宋体" w:cs="宋体"/>
          <w:color w:val="auto"/>
          <w:sz w:val="24"/>
          <w:szCs w:val="24"/>
          <w:lang w:val="en-US" w:eastAsia="zh-CN"/>
        </w:rPr>
        <w:t>物料平衡</w:t>
      </w:r>
      <w:r>
        <w:rPr>
          <w:rFonts w:hint="eastAsia" w:ascii="宋体" w:hAnsi="宋体" w:cs="宋体"/>
          <w:color w:val="auto"/>
          <w:sz w:val="24"/>
          <w:szCs w:val="24"/>
          <w:lang w:val="en-US" w:eastAsia="zh-CN"/>
        </w:rPr>
        <w:t>所需信息完整</w:t>
      </w:r>
      <w:r>
        <w:rPr>
          <w:rFonts w:hint="eastAsia" w:ascii="宋体" w:hAnsi="宋体" w:eastAsia="宋体" w:cs="宋体"/>
          <w:color w:val="auto"/>
          <w:sz w:val="24"/>
          <w:szCs w:val="24"/>
          <w:lang w:val="en-US" w:eastAsia="zh-CN"/>
        </w:rPr>
        <w:t>，要求固废利用企业</w:t>
      </w:r>
      <w:r>
        <w:rPr>
          <w:rFonts w:hint="eastAsia" w:ascii="宋体" w:hAnsi="宋体" w:eastAsia="宋体" w:cs="宋体"/>
          <w:color w:val="auto"/>
          <w:sz w:val="24"/>
          <w:szCs w:val="24"/>
          <w:lang w:eastAsia="zh-CN"/>
        </w:rPr>
        <w:t>与评价机构</w:t>
      </w:r>
      <w:r>
        <w:rPr>
          <w:rFonts w:hint="eastAsia" w:ascii="宋体" w:hAnsi="宋体" w:eastAsia="宋体" w:cs="宋体"/>
          <w:color w:val="auto"/>
          <w:sz w:val="24"/>
          <w:szCs w:val="24"/>
          <w:lang w:val="en-US" w:eastAsia="zh-CN"/>
        </w:rPr>
        <w:t>一起</w:t>
      </w:r>
      <w:r>
        <w:rPr>
          <w:rFonts w:hint="eastAsia" w:ascii="宋体" w:hAnsi="宋体" w:eastAsia="宋体" w:cs="宋体"/>
          <w:color w:val="auto"/>
          <w:sz w:val="24"/>
          <w:szCs w:val="24"/>
          <w:lang w:eastAsia="zh-CN"/>
        </w:rPr>
        <w:t>对固体废物的贮存量进行年终库存盘点，盘点结果信息由双方签字确认，</w:t>
      </w:r>
      <w:r>
        <w:rPr>
          <w:rFonts w:hint="eastAsia" w:ascii="宋体" w:hAnsi="宋体" w:cs="宋体"/>
          <w:color w:val="auto"/>
          <w:sz w:val="24"/>
          <w:szCs w:val="24"/>
          <w:lang w:val="en-US" w:eastAsia="zh-CN"/>
        </w:rPr>
        <w:t>确保盘点数据的可信度</w:t>
      </w:r>
      <w:r>
        <w:rPr>
          <w:rFonts w:hint="eastAsia" w:ascii="宋体" w:hAnsi="宋体" w:eastAsia="宋体" w:cs="宋体"/>
          <w:color w:val="auto"/>
          <w:sz w:val="24"/>
          <w:szCs w:val="24"/>
          <w:lang w:eastAsia="zh-CN"/>
        </w:rPr>
        <w:t>。</w:t>
      </w:r>
    </w:p>
    <w:p>
      <w:pPr>
        <w:pStyle w:val="3"/>
        <w:rPr>
          <w:rFonts w:hint="eastAsia" w:ascii="Times New Roman" w:hAnsi="Times New Roman" w:eastAsia="黑体"/>
          <w:bCs w:val="0"/>
          <w:color w:val="auto"/>
          <w:sz w:val="24"/>
          <w:szCs w:val="24"/>
          <w:lang w:val="en-US" w:eastAsia="zh-CN"/>
        </w:rPr>
      </w:pPr>
      <w:bookmarkStart w:id="31" w:name="_Toc6772"/>
      <w:r>
        <w:rPr>
          <w:rFonts w:hint="eastAsia" w:ascii="Times New Roman" w:hAnsi="Times New Roman" w:eastAsia="黑体"/>
          <w:bCs w:val="0"/>
          <w:color w:val="auto"/>
          <w:sz w:val="24"/>
          <w:szCs w:val="24"/>
          <w:lang w:val="en-US" w:eastAsia="zh-CN"/>
        </w:rPr>
        <w:t xml:space="preserve">10 </w:t>
      </w:r>
      <w:r>
        <w:rPr>
          <w:rFonts w:hint="eastAsia" w:ascii="Times New Roman" w:hAnsi="Times New Roman" w:eastAsia="黑体"/>
          <w:bCs w:val="0"/>
          <w:color w:val="auto"/>
          <w:sz w:val="24"/>
          <w:szCs w:val="24"/>
        </w:rPr>
        <w:t xml:space="preserve"> </w:t>
      </w:r>
      <w:r>
        <w:rPr>
          <w:rFonts w:hint="eastAsia" w:ascii="Times New Roman" w:hAnsi="Times New Roman" w:eastAsia="黑体"/>
          <w:bCs w:val="0"/>
          <w:color w:val="auto"/>
          <w:sz w:val="24"/>
          <w:szCs w:val="24"/>
          <w:lang w:val="en-US" w:eastAsia="zh-CN"/>
        </w:rPr>
        <w:t>职业健康与安全生产要求</w:t>
      </w:r>
      <w:bookmarkEnd w:id="31"/>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建筑材料生产企业的特点，本部分规定了建筑材料生产企业对安全生产和职业健康等方面的要求。应具备相应的安全生产和职业危害防治条件，采取有效措施避免由于资源综合利用而在生产过程中产生有毒、有害物质对从业人员造成不良影响。建立、健全安全生产责任制，开展安全生产标准化建设，制定应急管理预案，并按规定限期达标。</w:t>
      </w:r>
    </w:p>
    <w:p>
      <w:pPr>
        <w:pStyle w:val="3"/>
        <w:rPr>
          <w:rFonts w:hint="eastAsia" w:ascii="Times New Roman" w:hAnsi="Times New Roman" w:eastAsia="黑体"/>
          <w:bCs w:val="0"/>
          <w:color w:val="auto"/>
          <w:sz w:val="24"/>
          <w:szCs w:val="24"/>
          <w:lang w:val="en-US" w:eastAsia="zh-CN"/>
        </w:rPr>
      </w:pPr>
      <w:bookmarkStart w:id="32" w:name="_Toc6658"/>
      <w:r>
        <w:rPr>
          <w:rFonts w:hint="eastAsia" w:ascii="Times New Roman" w:hAnsi="Times New Roman" w:eastAsia="黑体"/>
          <w:bCs w:val="0"/>
          <w:color w:val="auto"/>
          <w:sz w:val="24"/>
          <w:szCs w:val="24"/>
          <w:lang w:val="en-US" w:eastAsia="zh-CN"/>
        </w:rPr>
        <w:t>11</w:t>
      </w:r>
      <w:r>
        <w:rPr>
          <w:rFonts w:hint="eastAsia" w:ascii="Times New Roman" w:hAnsi="Times New Roman" w:eastAsia="黑体"/>
          <w:bCs w:val="0"/>
          <w:color w:val="auto"/>
          <w:sz w:val="24"/>
          <w:szCs w:val="24"/>
        </w:rPr>
        <w:t xml:space="preserve"> </w:t>
      </w:r>
      <w:r>
        <w:rPr>
          <w:rFonts w:hint="eastAsia" w:ascii="Times New Roman" w:hAnsi="Times New Roman" w:eastAsia="黑体"/>
          <w:bCs w:val="0"/>
          <w:color w:val="auto"/>
          <w:sz w:val="24"/>
          <w:szCs w:val="24"/>
          <w:lang w:val="en-US" w:eastAsia="zh-CN"/>
        </w:rPr>
        <w:t xml:space="preserve"> 环境保护及污染防治要求</w:t>
      </w:r>
      <w:bookmarkEnd w:id="32"/>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本部分参考了</w:t>
      </w:r>
      <w:r>
        <w:rPr>
          <w:rFonts w:hint="eastAsia" w:ascii="宋体" w:hAnsi="宋体" w:cs="宋体"/>
          <w:color w:val="auto"/>
          <w:sz w:val="24"/>
          <w:szCs w:val="24"/>
          <w:lang w:val="en-US" w:eastAsia="zh-CN"/>
        </w:rPr>
        <w:t>HJ 1091—2020《固体废物再生利用污染防治技术导则》，对建筑材料生产企业的</w:t>
      </w:r>
      <w:r>
        <w:rPr>
          <w:rFonts w:hint="eastAsia" w:ascii="宋体" w:hAnsi="宋体" w:cs="宋体"/>
          <w:color w:val="auto"/>
          <w:sz w:val="24"/>
          <w:szCs w:val="24"/>
          <w:lang w:eastAsia="zh-CN"/>
        </w:rPr>
        <w:t>环境保护和污染防治提出了相应的要求。</w:t>
      </w:r>
    </w:p>
    <w:p>
      <w:pPr>
        <w:pStyle w:val="3"/>
        <w:rPr>
          <w:rFonts w:hint="eastAsia" w:ascii="Times New Roman" w:hAnsi="Times New Roman" w:eastAsia="黑体"/>
          <w:bCs w:val="0"/>
          <w:color w:val="auto"/>
          <w:sz w:val="24"/>
          <w:szCs w:val="24"/>
          <w:lang w:val="en-US" w:eastAsia="zh-CN"/>
        </w:rPr>
      </w:pPr>
      <w:bookmarkStart w:id="33" w:name="_Toc10581"/>
      <w:r>
        <w:rPr>
          <w:rFonts w:hint="eastAsia" w:ascii="Times New Roman" w:hAnsi="Times New Roman" w:eastAsia="黑体"/>
          <w:bCs w:val="0"/>
          <w:color w:val="auto"/>
          <w:sz w:val="24"/>
          <w:szCs w:val="24"/>
          <w:lang w:val="en-US" w:eastAsia="zh-CN"/>
        </w:rPr>
        <w:t>12</w:t>
      </w:r>
      <w:r>
        <w:rPr>
          <w:rFonts w:hint="eastAsia" w:ascii="Times New Roman" w:hAnsi="Times New Roman" w:eastAsia="黑体"/>
          <w:bCs w:val="0"/>
          <w:color w:val="auto"/>
          <w:sz w:val="24"/>
          <w:szCs w:val="24"/>
        </w:rPr>
        <w:t xml:space="preserve"> </w:t>
      </w:r>
      <w:r>
        <w:rPr>
          <w:rFonts w:hint="eastAsia" w:ascii="Times New Roman" w:hAnsi="Times New Roman" w:eastAsia="黑体"/>
          <w:bCs w:val="0"/>
          <w:color w:val="auto"/>
          <w:sz w:val="24"/>
          <w:szCs w:val="24"/>
          <w:lang w:val="en-US" w:eastAsia="zh-CN"/>
        </w:rPr>
        <w:t xml:space="preserve"> 标准化管理体系建设要求</w:t>
      </w:r>
      <w:bookmarkEnd w:id="33"/>
    </w:p>
    <w:p>
      <w:pPr>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标准化管理体系</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lang w:eastAsia="zh-CN"/>
        </w:rPr>
        <w:t>建立</w:t>
      </w:r>
      <w:r>
        <w:rPr>
          <w:rFonts w:hint="eastAsia" w:ascii="宋体" w:hAnsi="宋体" w:cs="宋体"/>
          <w:color w:val="auto"/>
          <w:sz w:val="24"/>
          <w:szCs w:val="24"/>
          <w:lang w:val="en-US" w:eastAsia="zh-CN"/>
        </w:rPr>
        <w:t>可以确保固废综合利用企业的生产和产品质量等可控</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根据建材企业特点，</w:t>
      </w:r>
      <w:r>
        <w:rPr>
          <w:rFonts w:hint="eastAsia" w:ascii="宋体" w:hAnsi="宋体" w:eastAsia="宋体" w:cs="宋体"/>
          <w:color w:val="auto"/>
          <w:sz w:val="24"/>
          <w:szCs w:val="24"/>
          <w:lang w:eastAsia="zh-CN"/>
        </w:rPr>
        <w:t>本</w:t>
      </w:r>
      <w:r>
        <w:rPr>
          <w:rFonts w:hint="eastAsia" w:ascii="宋体" w:hAnsi="宋体" w:cs="宋体"/>
          <w:color w:val="auto"/>
          <w:sz w:val="24"/>
          <w:szCs w:val="24"/>
          <w:lang w:eastAsia="zh-CN"/>
        </w:rPr>
        <w:t>章</w:t>
      </w:r>
      <w:r>
        <w:rPr>
          <w:rFonts w:hint="eastAsia" w:ascii="宋体" w:hAnsi="宋体" w:eastAsia="宋体" w:cs="宋体"/>
          <w:color w:val="auto"/>
          <w:sz w:val="24"/>
          <w:szCs w:val="24"/>
          <w:lang w:eastAsia="zh-CN"/>
        </w:rPr>
        <w:t>规定了建筑材料生产企业</w:t>
      </w:r>
      <w:r>
        <w:rPr>
          <w:rFonts w:hint="eastAsia" w:ascii="宋体" w:hAnsi="宋体" w:cs="宋体"/>
          <w:color w:val="auto"/>
          <w:sz w:val="24"/>
          <w:szCs w:val="24"/>
          <w:lang w:val="en-US" w:eastAsia="zh-CN"/>
        </w:rPr>
        <w:t>应</w:t>
      </w:r>
      <w:r>
        <w:rPr>
          <w:rFonts w:hint="eastAsia" w:ascii="宋体" w:hAnsi="宋体" w:eastAsia="宋体" w:cs="宋体"/>
          <w:color w:val="auto"/>
          <w:sz w:val="24"/>
          <w:szCs w:val="24"/>
          <w:lang w:eastAsia="zh-CN"/>
        </w:rPr>
        <w:t>建立质量管理体系、环境管理体系、职业健康安全管理体系、能源管理体系和测量管理体系</w:t>
      </w:r>
      <w:r>
        <w:rPr>
          <w:rFonts w:hint="eastAsia" w:ascii="宋体" w:hAnsi="宋体" w:cs="宋体"/>
          <w:color w:val="auto"/>
          <w:sz w:val="24"/>
          <w:szCs w:val="24"/>
          <w:lang w:val="en-US" w:eastAsia="zh-CN"/>
        </w:rPr>
        <w:t>等</w:t>
      </w: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同时要求</w:t>
      </w:r>
      <w:r>
        <w:rPr>
          <w:rFonts w:hint="eastAsia" w:ascii="宋体" w:hAnsi="宋体" w:eastAsia="宋体" w:cs="宋体"/>
          <w:color w:val="auto"/>
          <w:sz w:val="24"/>
          <w:szCs w:val="24"/>
          <w:lang w:eastAsia="zh-CN"/>
        </w:rPr>
        <w:t>持续有效运行。</w:t>
      </w:r>
    </w:p>
    <w:p>
      <w:pPr>
        <w:pStyle w:val="3"/>
        <w:rPr>
          <w:rFonts w:hint="eastAsia" w:ascii="Times New Roman" w:hAnsi="Times New Roman" w:eastAsia="黑体"/>
          <w:bCs w:val="0"/>
          <w:color w:val="auto"/>
          <w:sz w:val="24"/>
          <w:szCs w:val="24"/>
          <w:lang w:val="en-US" w:eastAsia="zh-CN"/>
        </w:rPr>
      </w:pPr>
      <w:bookmarkStart w:id="34" w:name="_Toc10712"/>
      <w:r>
        <w:rPr>
          <w:rFonts w:hint="eastAsia" w:ascii="Times New Roman" w:hAnsi="Times New Roman" w:eastAsia="黑体"/>
          <w:bCs w:val="0"/>
          <w:color w:val="auto"/>
          <w:sz w:val="24"/>
          <w:szCs w:val="24"/>
          <w:lang w:val="en-US" w:eastAsia="zh-CN"/>
        </w:rPr>
        <w:t>13</w:t>
      </w:r>
      <w:r>
        <w:rPr>
          <w:rFonts w:hint="eastAsia" w:ascii="Times New Roman" w:hAnsi="Times New Roman" w:eastAsia="黑体"/>
          <w:bCs w:val="0"/>
          <w:color w:val="auto"/>
          <w:sz w:val="24"/>
          <w:szCs w:val="24"/>
        </w:rPr>
        <w:t xml:space="preserve"> </w:t>
      </w:r>
      <w:r>
        <w:rPr>
          <w:rFonts w:hint="eastAsia" w:ascii="Times New Roman" w:hAnsi="Times New Roman" w:eastAsia="黑体"/>
          <w:bCs w:val="0"/>
          <w:color w:val="auto"/>
          <w:sz w:val="24"/>
          <w:szCs w:val="24"/>
          <w:lang w:val="en-US" w:eastAsia="zh-CN"/>
        </w:rPr>
        <w:t xml:space="preserve"> 现场核查</w:t>
      </w:r>
      <w:bookmarkEnd w:id="34"/>
    </w:p>
    <w:p>
      <w:pPr>
        <w:pageBreakBefore w:val="0"/>
        <w:kinsoku/>
        <w:wordWrap/>
        <w:overflowPunct/>
        <w:topLinePunct w:val="0"/>
        <w:bidi w:val="0"/>
        <w:adjustRightInd/>
        <w:snapToGrid/>
        <w:spacing w:line="360" w:lineRule="auto"/>
        <w:ind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核查内容主要为计量器具的准确性和固体废物的综合利用量。</w:t>
      </w:r>
    </w:p>
    <w:p>
      <w:pPr>
        <w:pageBreakBefore w:val="0"/>
        <w:kinsoku/>
        <w:wordWrap/>
        <w:overflowPunct/>
        <w:topLinePunct w:val="0"/>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计量器具的核查</w:t>
      </w:r>
      <w:r>
        <w:rPr>
          <w:rFonts w:hint="eastAsia" w:ascii="宋体" w:hAnsi="宋体" w:cs="宋体"/>
          <w:color w:val="auto"/>
          <w:sz w:val="24"/>
          <w:szCs w:val="24"/>
          <w:lang w:eastAsia="zh-CN"/>
        </w:rPr>
        <w:t>通过现场</w:t>
      </w:r>
      <w:r>
        <w:rPr>
          <w:rFonts w:hint="eastAsia" w:ascii="宋体" w:hAnsi="宋体" w:cs="宋体"/>
          <w:color w:val="auto"/>
          <w:sz w:val="24"/>
          <w:szCs w:val="24"/>
          <w:lang w:val="en-US" w:eastAsia="zh-CN"/>
        </w:rPr>
        <w:t>测</w:t>
      </w:r>
      <w:r>
        <w:rPr>
          <w:rFonts w:hint="eastAsia" w:ascii="宋体" w:hAnsi="宋体" w:cs="宋体"/>
          <w:color w:val="auto"/>
          <w:sz w:val="24"/>
          <w:szCs w:val="24"/>
          <w:lang w:eastAsia="zh-CN"/>
        </w:rPr>
        <w:t>量（</w:t>
      </w:r>
      <w:r>
        <w:rPr>
          <w:rFonts w:hint="eastAsia" w:ascii="宋体" w:hAnsi="宋体" w:cs="宋体"/>
          <w:color w:val="auto"/>
          <w:sz w:val="24"/>
          <w:szCs w:val="24"/>
          <w:lang w:val="en-US" w:eastAsia="zh-CN"/>
        </w:rPr>
        <w:t>抽查</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的固体废物综合利用率与在线计量（不同时间段或周期）的</w:t>
      </w:r>
      <w:r>
        <w:rPr>
          <w:rFonts w:hint="eastAsia" w:ascii="宋体" w:hAnsi="宋体" w:cs="宋体"/>
          <w:color w:val="auto"/>
          <w:sz w:val="24"/>
          <w:szCs w:val="24"/>
          <w:lang w:eastAsia="zh-CN"/>
        </w:rPr>
        <w:t>固体废物综合利用率</w:t>
      </w:r>
      <w:r>
        <w:rPr>
          <w:rFonts w:hint="eastAsia" w:ascii="宋体" w:hAnsi="宋体" w:cs="宋体"/>
          <w:color w:val="auto"/>
          <w:sz w:val="24"/>
          <w:szCs w:val="24"/>
          <w:lang w:val="en-US" w:eastAsia="zh-CN"/>
        </w:rPr>
        <w:t>比对，核定计量误差。固废综合利用量采用物料衡算方法，用两次盘库之间的数据。核查周期为一年。</w:t>
      </w:r>
    </w:p>
    <w:p>
      <w:pPr>
        <w:pageBreakBefore w:val="0"/>
        <w:kinsoku/>
        <w:wordWrap/>
        <w:overflowPunct/>
        <w:topLinePunct w:val="0"/>
        <w:bidi w:val="0"/>
        <w:adjustRightInd/>
        <w:snapToGrid/>
        <w:spacing w:line="360" w:lineRule="auto"/>
        <w:ind w:firstLine="480" w:firstLineChars="200"/>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为了核算企业固体废物利用量，标准引入物料平衡算法设置了公式（1）。公式（1）中，为了得出企业利用的固废量，用企业两次盘库期间的数据，初始状态下</w:t>
      </w:r>
      <w:r>
        <w:rPr>
          <w:rFonts w:hint="eastAsia" w:ascii="宋体" w:hAnsi="宋体" w:cs="宋体"/>
          <w:color w:val="auto"/>
          <w:sz w:val="24"/>
          <w:szCs w:val="24"/>
          <w:vertAlign w:val="baseline"/>
          <w:lang w:val="en-US" w:eastAsia="zh-CN"/>
        </w:rPr>
        <w:t>固体废物上期贮存量、当期产生量和当期接收量之和，为上期盘库后企业所有固体废物总量，减去本期企业处置、排放、贮存、转移量，即为本期企业固体废物利用量。但由于计算中，未去除生产过程中水份对结果的影响，故为了得到企业当期利用的干基固体废物量，用公式（2）得到的干基量。本标准认为，使用干基量记为企业的固体废物利用量，更有助于公平，能更好的维护市场的公平与诚信。</w:t>
      </w:r>
    </w:p>
    <w:p>
      <w:pPr>
        <w:pStyle w:val="3"/>
        <w:rPr>
          <w:rFonts w:hint="eastAsia" w:ascii="Times New Roman" w:hAnsi="Times New Roman" w:eastAsia="黑体"/>
          <w:bCs w:val="0"/>
          <w:color w:val="auto"/>
          <w:sz w:val="24"/>
          <w:szCs w:val="24"/>
          <w:lang w:val="en-US" w:eastAsia="zh-CN"/>
        </w:rPr>
      </w:pPr>
      <w:bookmarkStart w:id="35" w:name="_Toc21383"/>
      <w:r>
        <w:rPr>
          <w:rFonts w:hint="eastAsia" w:ascii="Times New Roman" w:hAnsi="Times New Roman" w:eastAsia="黑体"/>
          <w:bCs w:val="0"/>
          <w:color w:val="auto"/>
          <w:sz w:val="24"/>
          <w:szCs w:val="24"/>
          <w:lang w:val="en-US" w:eastAsia="zh-CN"/>
        </w:rPr>
        <w:t>14</w:t>
      </w:r>
      <w:r>
        <w:rPr>
          <w:rFonts w:hint="eastAsia" w:ascii="Times New Roman" w:hAnsi="Times New Roman" w:eastAsia="黑体"/>
          <w:bCs w:val="0"/>
          <w:color w:val="auto"/>
          <w:sz w:val="24"/>
          <w:szCs w:val="24"/>
        </w:rPr>
        <w:t xml:space="preserve"> </w:t>
      </w:r>
      <w:r>
        <w:rPr>
          <w:rFonts w:hint="eastAsia" w:ascii="Times New Roman" w:hAnsi="Times New Roman" w:eastAsia="黑体"/>
          <w:bCs w:val="0"/>
          <w:color w:val="auto"/>
          <w:sz w:val="24"/>
          <w:szCs w:val="24"/>
          <w:lang w:val="en-US" w:eastAsia="zh-CN"/>
        </w:rPr>
        <w:t xml:space="preserve"> 评价</w:t>
      </w:r>
      <w:bookmarkEnd w:id="35"/>
    </w:p>
    <w:p>
      <w:pPr>
        <w:pageBreakBefore w:val="0"/>
        <w:kinsoku/>
        <w:wordWrap/>
        <w:overflowPunct/>
        <w:topLinePunct w:val="0"/>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评价分为两大部分内容，资料评价为标准第4到第12章要求的全部，现场核查主要评价计量器具的准确性和物料衡算结果。参考了GB/T 7721、GB/T 7723和建材企业常用计量器具精度，要求控制误差在±0.5%以内</w:t>
      </w:r>
      <w:r>
        <w:rPr>
          <w:rFonts w:hint="eastAsia" w:ascii="宋体" w:hAnsi="宋体" w:cs="宋体"/>
          <w:color w:val="auto"/>
          <w:sz w:val="24"/>
          <w:szCs w:val="24"/>
          <w:lang w:eastAsia="zh-CN"/>
        </w:rPr>
        <w:t>。评价结果最终应汇总为报告，并在</w:t>
      </w:r>
      <w:r>
        <w:rPr>
          <w:rFonts w:hint="eastAsia" w:ascii="宋体" w:hAnsi="宋体" w:cs="宋体"/>
          <w:color w:val="auto"/>
          <w:sz w:val="24"/>
          <w:szCs w:val="24"/>
          <w:lang w:val="en-US" w:eastAsia="zh-CN"/>
        </w:rPr>
        <w:t>完成后三十日内，在被评价企业所在地县级以上工业和信息化主管部门备案。</w:t>
      </w:r>
    </w:p>
    <w:p>
      <w:pPr>
        <w:pStyle w:val="3"/>
        <w:rPr>
          <w:rFonts w:hint="eastAsia" w:ascii="Times New Roman" w:hAnsi="Times New Roman" w:eastAsia="黑体" w:cs="Times New Roman"/>
          <w:bCs w:val="0"/>
          <w:color w:val="auto"/>
          <w:sz w:val="24"/>
          <w:szCs w:val="24"/>
          <w:lang w:val="en-US" w:eastAsia="zh-CN"/>
        </w:rPr>
      </w:pPr>
      <w:bookmarkStart w:id="36" w:name="_Toc28872"/>
      <w:r>
        <w:rPr>
          <w:rFonts w:hint="eastAsia" w:ascii="Times New Roman" w:hAnsi="Times New Roman" w:eastAsia="黑体" w:cs="Times New Roman"/>
          <w:bCs w:val="0"/>
          <w:color w:val="auto"/>
          <w:sz w:val="24"/>
          <w:szCs w:val="24"/>
          <w:lang w:val="en-US" w:eastAsia="zh-CN"/>
        </w:rPr>
        <w:t>15  附录A</w:t>
      </w:r>
      <w:bookmarkEnd w:id="36"/>
    </w:p>
    <w:p>
      <w:pPr>
        <w:spacing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对于企业计量装置的现场核查，本标准引入双随机机制，目的在于督促企业定期核准其计量器具，保证计量准确性。现场核查前，要求企业先校准其计量器具，然后在正常工况情况下，进行时间2h以上的连续测量（或生产同一编号同一规格品种产品所需时间内）。由于计量的最终目的是核准企业固体废物的利用量，所以，对计量器具的核准本标准采用利用率比对的方式，采集的数据来源于企业采集利用量数据的显示器、计算机或中控室等。在检测时间内采集公式（A.1）所需数据，求出抽查测量值，利用公式（A.2）计算抽查测量利用率，并与利用公式（A.3）求出的在线计量利用率比对，要求误差控制在±0.5%以内，该要求与现行计量器具标准要求一致。</w:t>
      </w:r>
    </w:p>
    <w:p>
      <w:pPr>
        <w:spacing w:line="360" w:lineRule="auto"/>
        <w:ind w:firstLine="480" w:firstLineChars="200"/>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公式A.2和公式A.3所求利用率为粗算值，目的在于对计量器具准确度的核查，并不用于核查企业固体废物利用的情况，所以公式中并未考虑水分、工艺等产生的用量上的误差。</w:t>
      </w:r>
    </w:p>
    <w:p>
      <w:pPr>
        <w:numPr>
          <w:ilvl w:val="0"/>
          <w:numId w:val="3"/>
        </w:numPr>
        <w:spacing w:line="360" w:lineRule="auto"/>
        <w:outlineLvl w:val="0"/>
        <w:rPr>
          <w:rFonts w:hint="eastAsia" w:ascii="Times New Roman" w:hAnsi="Times New Roman" w:eastAsia="黑体"/>
          <w:b/>
          <w:bCs/>
          <w:color w:val="auto"/>
          <w:sz w:val="28"/>
          <w:szCs w:val="28"/>
        </w:rPr>
      </w:pPr>
      <w:bookmarkStart w:id="37" w:name="_Toc13901"/>
      <w:r>
        <w:rPr>
          <w:rFonts w:hint="eastAsia" w:ascii="Times New Roman" w:hAnsi="Times New Roman" w:eastAsia="黑体"/>
          <w:b/>
          <w:bCs/>
          <w:color w:val="auto"/>
          <w:sz w:val="28"/>
          <w:szCs w:val="28"/>
        </w:rPr>
        <w:t>试验验证分析综述</w:t>
      </w:r>
      <w:bookmarkEnd w:id="37"/>
    </w:p>
    <w:p>
      <w:pPr>
        <w:pStyle w:val="3"/>
        <w:rPr>
          <w:rFonts w:hint="eastAsia" w:ascii="Times New Roman" w:hAnsi="Times New Roman" w:eastAsia="黑体"/>
          <w:bCs w:val="0"/>
          <w:color w:val="auto"/>
          <w:sz w:val="24"/>
          <w:szCs w:val="24"/>
          <w:lang w:val="en-US" w:eastAsia="zh-CN"/>
        </w:rPr>
      </w:pPr>
      <w:bookmarkStart w:id="38" w:name="_Toc86"/>
      <w:bookmarkStart w:id="39" w:name="_Toc2390"/>
      <w:r>
        <w:rPr>
          <w:rFonts w:hint="eastAsia" w:ascii="Times New Roman" w:hAnsi="Times New Roman" w:eastAsia="黑体"/>
          <w:bCs w:val="0"/>
          <w:color w:val="auto"/>
          <w:sz w:val="24"/>
          <w:szCs w:val="24"/>
          <w:lang w:val="en-US" w:eastAsia="zh-CN"/>
        </w:rPr>
        <w:t>1  验证</w:t>
      </w:r>
      <w:bookmarkEnd w:id="38"/>
      <w:r>
        <w:rPr>
          <w:rFonts w:hint="eastAsia" w:ascii="Times New Roman" w:hAnsi="Times New Roman" w:eastAsia="黑体"/>
          <w:bCs w:val="0"/>
          <w:color w:val="auto"/>
          <w:sz w:val="24"/>
          <w:szCs w:val="24"/>
          <w:lang w:val="en-US" w:eastAsia="zh-CN"/>
        </w:rPr>
        <w:t>对象</w:t>
      </w:r>
      <w:bookmarkEnd w:id="39"/>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经沟通协商，有下列四家企业同意协助本标准验证工作，验证时间为三个月，企业概况如</w:t>
      </w:r>
      <w:r>
        <w:rPr>
          <w:rFonts w:hint="eastAsia"/>
          <w:color w:val="auto"/>
          <w:kern w:val="0"/>
          <w:sz w:val="24"/>
          <w:szCs w:val="24"/>
          <w:lang w:val="en-US" w:eastAsia="zh-CN"/>
        </w:rPr>
        <w:t>表1所示</w:t>
      </w:r>
      <w:r>
        <w:rPr>
          <w:rFonts w:hint="eastAsia" w:ascii="Times New Roman" w:hAnsi="Times New Roman"/>
          <w:color w:val="auto"/>
          <w:kern w:val="0"/>
          <w:sz w:val="24"/>
          <w:szCs w:val="24"/>
          <w:lang w:val="en-US" w:eastAsia="zh-CN"/>
        </w:rPr>
        <w:t>。</w:t>
      </w:r>
      <w:r>
        <w:rPr>
          <w:rFonts w:hint="eastAsia"/>
          <w:color w:val="auto"/>
          <w:kern w:val="0"/>
          <w:sz w:val="24"/>
          <w:szCs w:val="24"/>
          <w:lang w:val="en-US" w:eastAsia="zh-CN"/>
        </w:rPr>
        <w:t>主要利用的固体废物为：粉煤灰、高炉渣、工业副产石膏、赤泥等。</w:t>
      </w: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color w:val="auto"/>
          <w:kern w:val="0"/>
          <w:sz w:val="24"/>
          <w:szCs w:val="24"/>
          <w:lang w:val="en-US" w:eastAsia="zh-CN"/>
        </w:rPr>
      </w:pPr>
      <w:r>
        <w:rPr>
          <w:rFonts w:hint="eastAsia"/>
          <w:color w:val="auto"/>
          <w:kern w:val="0"/>
          <w:sz w:val="24"/>
          <w:szCs w:val="24"/>
          <w:lang w:val="en-US" w:eastAsia="zh-CN"/>
        </w:rPr>
        <w:t>表1  验证企业概况</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8"/>
        <w:gridCol w:w="1710"/>
        <w:gridCol w:w="1710"/>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8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企业代号</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所在地</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所</w:t>
            </w:r>
            <w:r>
              <w:rPr>
                <w:rFonts w:hint="eastAsia"/>
                <w:color w:val="auto"/>
                <w:kern w:val="0"/>
                <w:sz w:val="24"/>
                <w:szCs w:val="24"/>
                <w:lang w:val="en-US" w:eastAsia="zh-CN"/>
              </w:rPr>
              <w:t>属</w:t>
            </w:r>
            <w:r>
              <w:rPr>
                <w:rFonts w:hint="eastAsia" w:ascii="Times New Roman" w:hAnsi="Times New Roman"/>
                <w:color w:val="auto"/>
                <w:kern w:val="0"/>
                <w:sz w:val="24"/>
                <w:szCs w:val="24"/>
                <w:lang w:val="en-US" w:eastAsia="zh-CN"/>
              </w:rPr>
              <w:t>行业</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企业规模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color w:val="auto"/>
                <w:kern w:val="0"/>
                <w:sz w:val="24"/>
                <w:szCs w:val="24"/>
                <w:lang w:val="en-US" w:eastAsia="zh-CN"/>
              </w:rPr>
            </w:pPr>
            <w:bookmarkStart w:id="79" w:name="_GoBack"/>
            <w:r>
              <w:rPr>
                <w:rFonts w:hint="eastAsia" w:ascii="Times New Roman" w:hAnsi="Times New Roman"/>
                <w:color w:val="auto"/>
                <w:kern w:val="0"/>
                <w:sz w:val="24"/>
                <w:szCs w:val="24"/>
                <w:lang w:val="en-US" w:eastAsia="zh-CN"/>
              </w:rPr>
              <w:t>A</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山西</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水泥</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90万吨/年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8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B</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贵州</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墙材</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260</w:t>
            </w:r>
            <w:r>
              <w:rPr>
                <w:rFonts w:hint="eastAsia"/>
                <w:color w:val="auto"/>
                <w:kern w:val="0"/>
                <w:sz w:val="24"/>
                <w:szCs w:val="24"/>
                <w:lang w:val="en-US" w:eastAsia="zh-CN"/>
              </w:rPr>
              <w:t>万平方米</w:t>
            </w:r>
            <w:r>
              <w:rPr>
                <w:rFonts w:hint="eastAsia" w:ascii="Times New Roman" w:hAnsi="Times New Roman"/>
                <w:color w:val="auto"/>
                <w:kern w:val="0"/>
                <w:sz w:val="24"/>
                <w:szCs w:val="24"/>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C</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江苏</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水泥</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1000万吨/年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D</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广西</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水泥</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2000万吨/年</w:t>
            </w:r>
          </w:p>
        </w:tc>
      </w:tr>
    </w:tbl>
    <w:p>
      <w:pPr>
        <w:pStyle w:val="3"/>
        <w:rPr>
          <w:rFonts w:hint="eastAsia" w:ascii="Times New Roman" w:hAnsi="Times New Roman" w:eastAsia="黑体"/>
          <w:bCs w:val="0"/>
          <w:color w:val="auto"/>
          <w:sz w:val="24"/>
          <w:szCs w:val="24"/>
          <w:lang w:val="en-US" w:eastAsia="zh-CN"/>
        </w:rPr>
      </w:pPr>
      <w:bookmarkStart w:id="40" w:name="_Toc14059"/>
      <w:bookmarkStart w:id="41" w:name="_Toc29475"/>
      <w:r>
        <w:rPr>
          <w:rFonts w:hint="eastAsia" w:ascii="Times New Roman" w:hAnsi="Times New Roman" w:eastAsia="黑体"/>
          <w:bCs w:val="0"/>
          <w:color w:val="auto"/>
          <w:sz w:val="24"/>
          <w:szCs w:val="24"/>
          <w:lang w:val="en-US" w:eastAsia="zh-CN"/>
        </w:rPr>
        <w:t>2  验证结果</w:t>
      </w:r>
      <w:bookmarkEnd w:id="40"/>
      <w:r>
        <w:rPr>
          <w:rFonts w:hint="eastAsia" w:ascii="Times New Roman" w:hAnsi="Times New Roman" w:eastAsia="黑体"/>
          <w:bCs w:val="0"/>
          <w:color w:val="auto"/>
          <w:sz w:val="24"/>
          <w:szCs w:val="24"/>
          <w:lang w:val="en-US" w:eastAsia="zh-CN"/>
        </w:rPr>
        <w:t>与分析</w:t>
      </w:r>
      <w:bookmarkEnd w:id="41"/>
    </w:p>
    <w:bookmarkEnd w:id="79"/>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rFonts w:hint="eastAsia"/>
          <w:color w:val="auto"/>
          <w:kern w:val="0"/>
          <w:sz w:val="24"/>
          <w:szCs w:val="24"/>
          <w:lang w:val="en-US" w:eastAsia="zh-CN"/>
        </w:rPr>
      </w:pPr>
      <w:r>
        <w:rPr>
          <w:rFonts w:hint="eastAsia"/>
          <w:color w:val="auto"/>
          <w:kern w:val="0"/>
          <w:sz w:val="24"/>
          <w:szCs w:val="24"/>
          <w:lang w:val="en-US" w:eastAsia="zh-CN"/>
        </w:rPr>
        <w:t>对标准第4到第12章的全部要求进行验证，具体结果如表2所示。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color w:val="auto"/>
          <w:kern w:val="0"/>
          <w:sz w:val="24"/>
          <w:szCs w:val="24"/>
          <w:lang w:val="en-US" w:eastAsia="zh-CN"/>
        </w:rPr>
      </w:pPr>
      <w:r>
        <w:rPr>
          <w:rFonts w:hint="eastAsia"/>
          <w:color w:val="auto"/>
          <w:kern w:val="0"/>
          <w:sz w:val="24"/>
          <w:szCs w:val="24"/>
          <w:lang w:val="en-US" w:eastAsia="zh-CN"/>
        </w:rPr>
        <w:t>表2  验证结果</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908"/>
        <w:gridCol w:w="1908"/>
        <w:gridCol w:w="1908"/>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jc w:val="center"/>
        </w:trPr>
        <w:tc>
          <w:tcPr>
            <w:tcW w:w="89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标准条目</w:t>
            </w:r>
          </w:p>
        </w:tc>
        <w:tc>
          <w:tcPr>
            <w:tcW w:w="763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color w:val="auto"/>
                <w:kern w:val="0"/>
                <w:sz w:val="24"/>
                <w:szCs w:val="24"/>
                <w:lang w:val="en-US" w:eastAsia="zh-CN"/>
              </w:rPr>
            </w:pPr>
            <w:r>
              <w:rPr>
                <w:rFonts w:hint="eastAsia"/>
                <w:color w:val="auto"/>
                <w:kern w:val="0"/>
                <w:sz w:val="24"/>
                <w:szCs w:val="24"/>
                <w:lang w:val="en-US" w:eastAsia="zh-CN"/>
              </w:rPr>
              <w:t>各企业结果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color w:val="auto"/>
              </w:rPr>
            </w:pP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olor w:val="auto"/>
                <w:kern w:val="0"/>
                <w:sz w:val="24"/>
                <w:szCs w:val="24"/>
                <w:lang w:val="en-US" w:eastAsia="zh-CN"/>
              </w:rPr>
            </w:pPr>
            <w:r>
              <w:rPr>
                <w:rFonts w:hint="eastAsia"/>
                <w:color w:val="auto"/>
                <w:kern w:val="0"/>
                <w:sz w:val="24"/>
                <w:szCs w:val="24"/>
                <w:lang w:val="en-US" w:eastAsia="zh-CN"/>
              </w:rPr>
              <w:t>A</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olor w:val="auto"/>
                <w:kern w:val="0"/>
                <w:sz w:val="24"/>
                <w:szCs w:val="24"/>
                <w:lang w:val="en-US" w:eastAsia="zh-CN"/>
              </w:rPr>
            </w:pPr>
            <w:r>
              <w:rPr>
                <w:rFonts w:hint="eastAsia"/>
                <w:color w:val="auto"/>
                <w:kern w:val="0"/>
                <w:sz w:val="24"/>
                <w:szCs w:val="24"/>
                <w:lang w:val="en-US" w:eastAsia="zh-CN"/>
              </w:rPr>
              <w:t>B</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olor w:val="auto"/>
                <w:kern w:val="0"/>
                <w:sz w:val="24"/>
                <w:szCs w:val="24"/>
                <w:lang w:val="en-US" w:eastAsia="zh-CN"/>
              </w:rPr>
            </w:pPr>
            <w:r>
              <w:rPr>
                <w:rFonts w:hint="eastAsia"/>
                <w:color w:val="auto"/>
                <w:kern w:val="0"/>
                <w:sz w:val="24"/>
                <w:szCs w:val="24"/>
                <w:lang w:val="en-US" w:eastAsia="zh-CN"/>
              </w:rPr>
              <w:t>C</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olor w:val="auto"/>
                <w:kern w:val="0"/>
                <w:sz w:val="24"/>
                <w:szCs w:val="24"/>
                <w:lang w:val="en-US" w:eastAsia="zh-CN"/>
              </w:rPr>
            </w:pPr>
            <w:r>
              <w:rPr>
                <w:rFonts w:hint="eastAsia"/>
                <w:color w:val="auto"/>
                <w:kern w:val="0"/>
                <w:sz w:val="24"/>
                <w:szCs w:val="24"/>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color w:val="auto"/>
                <w:kern w:val="0"/>
                <w:sz w:val="24"/>
                <w:szCs w:val="24"/>
                <w:lang w:val="en-US" w:eastAsia="zh-CN"/>
              </w:rPr>
            </w:pPr>
            <w:r>
              <w:rPr>
                <w:rFonts w:hint="eastAsia"/>
                <w:color w:val="auto"/>
                <w:kern w:val="0"/>
                <w:sz w:val="24"/>
                <w:szCs w:val="24"/>
                <w:lang w:val="en-US" w:eastAsia="zh-CN"/>
              </w:rPr>
              <w:t>4</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已执行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已执行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已执行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已执行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color w:val="auto"/>
                <w:kern w:val="0"/>
                <w:sz w:val="24"/>
                <w:szCs w:val="24"/>
                <w:lang w:val="en-US" w:eastAsia="zh-CN"/>
              </w:rPr>
            </w:pPr>
            <w:r>
              <w:rPr>
                <w:rFonts w:hint="eastAsia"/>
                <w:color w:val="auto"/>
                <w:kern w:val="0"/>
                <w:sz w:val="24"/>
                <w:szCs w:val="24"/>
                <w:lang w:val="en-US" w:eastAsia="zh-CN"/>
              </w:rPr>
              <w:t>5</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已执行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color w:val="auto"/>
                <w:kern w:val="0"/>
                <w:sz w:val="24"/>
                <w:szCs w:val="24"/>
                <w:lang w:val="en-US" w:eastAsia="zh-CN"/>
              </w:rPr>
            </w:pPr>
            <w:r>
              <w:rPr>
                <w:rFonts w:hint="eastAsia"/>
                <w:color w:val="auto"/>
                <w:kern w:val="0"/>
                <w:sz w:val="24"/>
                <w:szCs w:val="24"/>
                <w:lang w:val="en-US" w:eastAsia="zh-CN"/>
              </w:rPr>
              <w:t>已执行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color w:val="auto"/>
                <w:kern w:val="0"/>
                <w:sz w:val="24"/>
                <w:szCs w:val="24"/>
                <w:lang w:val="en-US" w:eastAsia="zh-CN"/>
              </w:rPr>
            </w:pPr>
            <w:r>
              <w:rPr>
                <w:rFonts w:hint="eastAsia"/>
                <w:color w:val="auto"/>
                <w:kern w:val="0"/>
                <w:sz w:val="24"/>
                <w:szCs w:val="24"/>
                <w:lang w:val="en-US" w:eastAsia="zh-CN"/>
              </w:rPr>
              <w:t>已执行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color w:val="auto"/>
                <w:kern w:val="0"/>
                <w:sz w:val="24"/>
                <w:szCs w:val="24"/>
                <w:lang w:val="en-US" w:eastAsia="zh-CN"/>
              </w:rPr>
            </w:pPr>
            <w:r>
              <w:rPr>
                <w:rFonts w:hint="eastAsia"/>
                <w:color w:val="auto"/>
                <w:kern w:val="0"/>
                <w:sz w:val="24"/>
                <w:szCs w:val="24"/>
                <w:lang w:val="en-US" w:eastAsia="zh-CN"/>
              </w:rPr>
              <w:t>已执行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color w:val="auto"/>
                <w:kern w:val="0"/>
                <w:sz w:val="24"/>
                <w:szCs w:val="24"/>
                <w:lang w:val="en-US" w:eastAsia="zh-CN"/>
              </w:rPr>
            </w:pPr>
            <w:r>
              <w:rPr>
                <w:rFonts w:hint="eastAsia"/>
                <w:color w:val="auto"/>
                <w:kern w:val="0"/>
                <w:sz w:val="24"/>
                <w:szCs w:val="24"/>
                <w:lang w:val="en-US" w:eastAsia="zh-CN"/>
              </w:rPr>
              <w:t>6</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color w:val="auto"/>
                <w:kern w:val="0"/>
                <w:sz w:val="24"/>
                <w:szCs w:val="24"/>
                <w:lang w:val="en-US" w:eastAsia="zh-CN"/>
              </w:rPr>
            </w:pPr>
            <w:r>
              <w:rPr>
                <w:rFonts w:hint="eastAsia"/>
                <w:color w:val="auto"/>
                <w:kern w:val="0"/>
                <w:sz w:val="24"/>
                <w:szCs w:val="24"/>
                <w:lang w:val="en-US" w:eastAsia="zh-CN"/>
              </w:rPr>
              <w:t>7</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color w:val="auto"/>
                <w:kern w:val="0"/>
                <w:sz w:val="24"/>
                <w:szCs w:val="24"/>
                <w:lang w:val="en-US" w:eastAsia="zh-CN"/>
              </w:rPr>
            </w:pPr>
            <w:r>
              <w:rPr>
                <w:rFonts w:hint="eastAsia"/>
                <w:color w:val="auto"/>
                <w:kern w:val="0"/>
                <w:sz w:val="24"/>
                <w:szCs w:val="24"/>
                <w:lang w:val="en-US" w:eastAsia="zh-CN"/>
              </w:rPr>
              <w:t>8</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color w:val="auto"/>
                <w:kern w:val="0"/>
                <w:sz w:val="24"/>
                <w:szCs w:val="24"/>
                <w:lang w:val="en-US" w:eastAsia="zh-CN"/>
              </w:rPr>
            </w:pPr>
            <w:r>
              <w:rPr>
                <w:rFonts w:hint="eastAsia"/>
                <w:color w:val="auto"/>
                <w:kern w:val="0"/>
                <w:sz w:val="24"/>
                <w:szCs w:val="24"/>
                <w:lang w:val="en-US" w:eastAsia="zh-CN"/>
              </w:rPr>
              <w:t>9</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可执行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可执行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可执行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可执行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color w:val="auto"/>
                <w:kern w:val="0"/>
                <w:sz w:val="24"/>
                <w:szCs w:val="24"/>
                <w:lang w:val="en-US" w:eastAsia="zh-CN"/>
              </w:rPr>
            </w:pPr>
            <w:r>
              <w:rPr>
                <w:rFonts w:hint="eastAsia"/>
                <w:color w:val="auto"/>
                <w:kern w:val="0"/>
                <w:sz w:val="24"/>
                <w:szCs w:val="24"/>
                <w:lang w:val="en-US" w:eastAsia="zh-CN"/>
              </w:rPr>
              <w:t>10</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已执行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已执行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已执行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color w:val="auto"/>
                <w:kern w:val="0"/>
                <w:sz w:val="24"/>
                <w:szCs w:val="24"/>
                <w:lang w:val="en-US" w:eastAsia="zh-CN"/>
              </w:rPr>
            </w:pPr>
            <w:r>
              <w:rPr>
                <w:rFonts w:hint="eastAsia"/>
                <w:color w:val="auto"/>
                <w:kern w:val="0"/>
                <w:sz w:val="24"/>
                <w:szCs w:val="24"/>
                <w:lang w:val="en-US" w:eastAsia="zh-CN"/>
              </w:rPr>
              <w:t>11</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已执行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已执行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default"/>
                <w:color w:val="auto"/>
                <w:kern w:val="0"/>
                <w:sz w:val="24"/>
                <w:szCs w:val="24"/>
                <w:lang w:val="en-US" w:eastAsia="zh-CN"/>
              </w:rPr>
            </w:pPr>
            <w:r>
              <w:rPr>
                <w:rFonts w:hint="eastAsia"/>
                <w:color w:val="auto"/>
                <w:kern w:val="0"/>
                <w:sz w:val="24"/>
                <w:szCs w:val="24"/>
                <w:lang w:val="en-US" w:eastAsia="zh-CN"/>
              </w:rPr>
              <w:t>12</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已执行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已执行</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auto"/>
                <w:kern w:val="0"/>
                <w:sz w:val="24"/>
                <w:szCs w:val="24"/>
                <w:lang w:val="en-US" w:eastAsia="zh-CN"/>
              </w:rPr>
            </w:pPr>
            <w:r>
              <w:rPr>
                <w:rFonts w:hint="eastAsia"/>
                <w:color w:val="auto"/>
                <w:kern w:val="0"/>
                <w:sz w:val="24"/>
                <w:szCs w:val="24"/>
                <w:lang w:val="en-US" w:eastAsia="zh-CN"/>
              </w:rPr>
              <w:t>已执行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6"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color w:val="auto"/>
                <w:kern w:val="0"/>
                <w:sz w:val="24"/>
                <w:szCs w:val="24"/>
                <w:lang w:val="en-US" w:eastAsia="zh-CN"/>
              </w:rPr>
            </w:pPr>
            <w:r>
              <w:rPr>
                <w:rFonts w:hint="eastAsia"/>
                <w:color w:val="auto"/>
                <w:kern w:val="0"/>
                <w:sz w:val="22"/>
                <w:szCs w:val="22"/>
                <w:lang w:val="en-US" w:eastAsia="zh-CN"/>
              </w:rPr>
              <w:t>注：已执行，为企业本身已满足该要求；可执行，为企业认可标准要求，并承诺可按要求执行；执行，为企业在开始验证后可按标准要求执行。</w:t>
            </w:r>
          </w:p>
        </w:tc>
      </w:tr>
    </w:tbl>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rFonts w:hint="eastAsia"/>
          <w:color w:val="auto"/>
          <w:kern w:val="0"/>
          <w:sz w:val="24"/>
          <w:szCs w:val="24"/>
          <w:lang w:val="en-US" w:eastAsia="zh-CN"/>
        </w:rPr>
      </w:pPr>
      <w:r>
        <w:rPr>
          <w:rFonts w:hint="eastAsia" w:ascii="Times New Roman" w:hAnsi="Times New Roman"/>
          <w:color w:val="auto"/>
          <w:kern w:val="0"/>
          <w:sz w:val="24"/>
          <w:szCs w:val="24"/>
          <w:lang w:val="en-US" w:eastAsia="zh-CN"/>
        </w:rPr>
        <w:t>标准第4到第12章的所有要求，</w:t>
      </w:r>
      <w:r>
        <w:rPr>
          <w:rFonts w:hint="eastAsia"/>
          <w:color w:val="auto"/>
          <w:kern w:val="0"/>
          <w:sz w:val="24"/>
          <w:szCs w:val="24"/>
          <w:lang w:val="en-US" w:eastAsia="zh-CN"/>
        </w:rPr>
        <w:t>标准第4、第5、第10、第11、第12章的要求，部分</w:t>
      </w:r>
      <w:r>
        <w:rPr>
          <w:rFonts w:hint="eastAsia" w:ascii="Times New Roman" w:hAnsi="Times New Roman"/>
          <w:color w:val="auto"/>
          <w:kern w:val="0"/>
          <w:sz w:val="24"/>
          <w:szCs w:val="24"/>
          <w:lang w:val="en-US" w:eastAsia="zh-CN"/>
        </w:rPr>
        <w:t>企业</w:t>
      </w:r>
      <w:r>
        <w:rPr>
          <w:rFonts w:hint="eastAsia"/>
          <w:color w:val="auto"/>
          <w:kern w:val="0"/>
          <w:sz w:val="24"/>
          <w:szCs w:val="24"/>
          <w:lang w:val="en-US" w:eastAsia="zh-CN"/>
        </w:rPr>
        <w:t>在验证前已符合该要求；标准第9章在验证期间无法进行，但是企业</w:t>
      </w:r>
      <w:r>
        <w:rPr>
          <w:rFonts w:hint="eastAsia" w:ascii="Times New Roman" w:hAnsi="Times New Roman"/>
          <w:color w:val="auto"/>
          <w:kern w:val="0"/>
          <w:sz w:val="24"/>
          <w:szCs w:val="24"/>
          <w:lang w:val="en-US" w:eastAsia="zh-CN"/>
        </w:rPr>
        <w:t>均认为</w:t>
      </w:r>
      <w:r>
        <w:rPr>
          <w:rFonts w:hint="eastAsia"/>
          <w:color w:val="auto"/>
          <w:kern w:val="0"/>
          <w:sz w:val="24"/>
          <w:szCs w:val="24"/>
          <w:lang w:val="en-US" w:eastAsia="zh-CN"/>
        </w:rPr>
        <w:t>可按标准执行；标准其他章节要求，在验证期间，企业均能按要求整改执行。</w:t>
      </w:r>
      <w:r>
        <w:rPr>
          <w:rFonts w:hint="eastAsia" w:ascii="Times New Roman" w:hAnsi="Times New Roman"/>
          <w:color w:val="auto"/>
          <w:kern w:val="0"/>
          <w:sz w:val="24"/>
          <w:szCs w:val="24"/>
          <w:lang w:val="en-US" w:eastAsia="zh-CN"/>
        </w:rPr>
        <w:t>对于</w:t>
      </w:r>
      <w:r>
        <w:rPr>
          <w:rFonts w:hint="eastAsia"/>
          <w:color w:val="auto"/>
          <w:kern w:val="0"/>
          <w:sz w:val="24"/>
          <w:szCs w:val="24"/>
          <w:lang w:val="en-US" w:eastAsia="zh-CN"/>
        </w:rPr>
        <w:t>标准中相关</w:t>
      </w:r>
      <w:r>
        <w:rPr>
          <w:rFonts w:hint="eastAsia" w:ascii="Times New Roman" w:hAnsi="Times New Roman"/>
          <w:color w:val="auto"/>
          <w:kern w:val="0"/>
          <w:sz w:val="24"/>
          <w:szCs w:val="24"/>
          <w:lang w:val="en-US" w:eastAsia="zh-CN"/>
        </w:rPr>
        <w:t>资料留存5年的要求，企业</w:t>
      </w:r>
      <w:r>
        <w:rPr>
          <w:rFonts w:hint="eastAsia"/>
          <w:color w:val="auto"/>
          <w:kern w:val="0"/>
          <w:sz w:val="24"/>
          <w:szCs w:val="24"/>
          <w:lang w:val="en-US" w:eastAsia="zh-CN"/>
        </w:rPr>
        <w:t>承诺可以执行。</w:t>
      </w:r>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rFonts w:hint="default"/>
          <w:color w:val="auto"/>
          <w:kern w:val="0"/>
          <w:sz w:val="24"/>
          <w:szCs w:val="24"/>
          <w:lang w:val="en-US" w:eastAsia="zh-CN"/>
        </w:rPr>
      </w:pPr>
      <w:r>
        <w:rPr>
          <w:rFonts w:hint="eastAsia"/>
          <w:color w:val="auto"/>
          <w:kern w:val="0"/>
          <w:sz w:val="24"/>
          <w:szCs w:val="24"/>
          <w:lang w:val="en-US" w:eastAsia="zh-CN"/>
        </w:rPr>
        <w:t>标准第13章现场核查部分，计量器具的准确性核查，方法可操作，误差限额合理。由于对利用量的核查方法在2019年11月才确定，联系的四家企业在拟定的验证时间中无法按标准要求进行盘库操作，致使关键数据无法收集，所以暂时无法对误差限额要求进行验证，</w:t>
      </w:r>
      <w:r>
        <w:rPr>
          <w:rFonts w:hint="eastAsia" w:ascii="Times New Roman" w:hAnsi="Times New Roman"/>
          <w:color w:val="auto"/>
          <w:kern w:val="0"/>
          <w:sz w:val="24"/>
          <w:szCs w:val="24"/>
          <w:lang w:val="en-US" w:eastAsia="zh-CN"/>
        </w:rPr>
        <w:t>但是该误差限额企业认为合理。</w:t>
      </w:r>
    </w:p>
    <w:p>
      <w:pPr>
        <w:pStyle w:val="3"/>
        <w:rPr>
          <w:rFonts w:hint="eastAsia" w:ascii="Times New Roman" w:hAnsi="Times New Roman"/>
          <w:color w:val="auto"/>
          <w:kern w:val="0"/>
          <w:sz w:val="24"/>
          <w:szCs w:val="24"/>
          <w:lang w:val="en-US" w:eastAsia="zh-CN"/>
        </w:rPr>
      </w:pPr>
      <w:bookmarkStart w:id="42" w:name="_Toc10724"/>
      <w:bookmarkStart w:id="43" w:name="_Toc25585"/>
      <w:r>
        <w:rPr>
          <w:rFonts w:hint="eastAsia" w:ascii="Times New Roman" w:hAnsi="Times New Roman" w:eastAsia="黑体"/>
          <w:bCs w:val="0"/>
          <w:color w:val="auto"/>
          <w:sz w:val="24"/>
          <w:szCs w:val="24"/>
          <w:lang w:val="en-US" w:eastAsia="zh-CN"/>
        </w:rPr>
        <w:t>3  验证总结</w:t>
      </w:r>
      <w:bookmarkEnd w:id="42"/>
      <w:bookmarkEnd w:id="43"/>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rFonts w:hint="eastAsia"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水泥、墙材为固废利用量较大的建材企业，其他建材生产企业的利用量很小，所以标准以利用量大的企业为主抓对象进行了调研和验证，希望能实现“大带小”的目标。标准的目的是提升行业管理的目标，现有要求不是每个企业都能达到，需要想变好、做大的企业去整改、提升，这样才能实现全行业的进步。</w:t>
      </w:r>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color w:val="auto"/>
          <w:kern w:val="0"/>
          <w:sz w:val="24"/>
          <w:szCs w:val="24"/>
          <w:lang w:val="en-US" w:eastAsia="zh-CN"/>
        </w:rPr>
      </w:pPr>
      <w:r>
        <w:rPr>
          <w:rFonts w:hint="eastAsia" w:ascii="Times New Roman" w:hAnsi="Times New Roman"/>
          <w:color w:val="auto"/>
          <w:kern w:val="0"/>
          <w:sz w:val="24"/>
          <w:szCs w:val="24"/>
          <w:lang w:val="en-US" w:eastAsia="zh-CN"/>
        </w:rPr>
        <w:t>总体而言，本标准符合企业生产实际，能有效规范企业生产，对固废综合利用管理起到了很大的帮助</w:t>
      </w:r>
      <w:r>
        <w:rPr>
          <w:rFonts w:hint="eastAsia"/>
          <w:color w:val="auto"/>
          <w:kern w:val="0"/>
          <w:sz w:val="24"/>
          <w:szCs w:val="24"/>
          <w:lang w:val="en-US" w:eastAsia="zh-CN"/>
        </w:rPr>
        <w:t>，</w:t>
      </w:r>
      <w:r>
        <w:rPr>
          <w:rFonts w:hint="eastAsia" w:ascii="Times New Roman" w:hAnsi="Times New Roman"/>
          <w:color w:val="auto"/>
          <w:kern w:val="0"/>
          <w:sz w:val="24"/>
          <w:szCs w:val="24"/>
          <w:lang w:val="en-US" w:eastAsia="zh-CN"/>
        </w:rPr>
        <w:t>对企业生产效率的提高，管理效率的提升有很大的帮助作用，标准中对企业的相关要求合理可行</w:t>
      </w:r>
      <w:r>
        <w:rPr>
          <w:rFonts w:hint="eastAsia"/>
          <w:color w:val="auto"/>
          <w:kern w:val="0"/>
          <w:sz w:val="24"/>
          <w:szCs w:val="24"/>
          <w:lang w:val="en-US" w:eastAsia="zh-CN"/>
        </w:rPr>
        <w:t>，</w:t>
      </w:r>
      <w:r>
        <w:rPr>
          <w:rFonts w:hint="eastAsia" w:ascii="Times New Roman" w:hAnsi="Times New Roman"/>
          <w:color w:val="auto"/>
          <w:kern w:val="0"/>
          <w:sz w:val="24"/>
          <w:szCs w:val="24"/>
          <w:lang w:val="en-US" w:eastAsia="zh-CN"/>
        </w:rPr>
        <w:t>对企业的现场核查与评价起到了帮助。</w:t>
      </w:r>
    </w:p>
    <w:p>
      <w:pPr>
        <w:spacing w:line="360" w:lineRule="auto"/>
        <w:outlineLvl w:val="0"/>
        <w:rPr>
          <w:rFonts w:ascii="Times New Roman" w:hAnsi="Times New Roman" w:eastAsia="黑体"/>
          <w:b/>
          <w:bCs/>
          <w:color w:val="auto"/>
          <w:sz w:val="28"/>
          <w:szCs w:val="28"/>
        </w:rPr>
      </w:pPr>
      <w:bookmarkStart w:id="44" w:name="_Toc16920"/>
      <w:r>
        <w:rPr>
          <w:rFonts w:hint="eastAsia" w:ascii="Times New Roman" w:hAnsi="Times New Roman" w:eastAsia="黑体"/>
          <w:b/>
          <w:bCs/>
          <w:color w:val="auto"/>
          <w:sz w:val="28"/>
          <w:szCs w:val="28"/>
          <w:lang w:val="en-US" w:eastAsia="zh-CN"/>
        </w:rPr>
        <w:t>五、</w:t>
      </w:r>
      <w:r>
        <w:rPr>
          <w:rFonts w:hint="eastAsia" w:ascii="Times New Roman" w:hAnsi="Times New Roman" w:eastAsia="黑体"/>
          <w:b/>
          <w:bCs/>
          <w:color w:val="auto"/>
          <w:sz w:val="28"/>
          <w:szCs w:val="28"/>
        </w:rPr>
        <w:t>标准中涉及专利情况说明</w:t>
      </w:r>
      <w:bookmarkEnd w:id="44"/>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rFonts w:ascii="Times New Roman" w:hAnsi="Times New Roman"/>
          <w:color w:val="auto"/>
          <w:kern w:val="0"/>
          <w:sz w:val="24"/>
          <w:szCs w:val="24"/>
          <w:lang w:val="pt-PT"/>
        </w:rPr>
      </w:pPr>
      <w:r>
        <w:rPr>
          <w:rFonts w:hint="eastAsia" w:ascii="Times New Roman" w:hAnsi="Times New Roman"/>
          <w:color w:val="auto"/>
          <w:kern w:val="0"/>
          <w:sz w:val="24"/>
          <w:szCs w:val="24"/>
          <w:lang w:val="pt-PT"/>
        </w:rPr>
        <w:t>经检索，本标准所列技术内容没有涉及专利和知识产权的情况。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Times New Roman" w:hAnsi="Times New Roman" w:eastAsia="黑体"/>
          <w:b/>
          <w:bCs/>
          <w:color w:val="auto"/>
          <w:sz w:val="28"/>
          <w:szCs w:val="28"/>
          <w:lang w:val="pt-PT" w:eastAsia="zh-CN"/>
        </w:rPr>
      </w:pPr>
      <w:bookmarkStart w:id="45" w:name="_Toc18484928"/>
      <w:bookmarkStart w:id="46" w:name="_Toc9312"/>
      <w:r>
        <w:rPr>
          <w:rFonts w:hint="eastAsia" w:ascii="Times New Roman" w:hAnsi="Times New Roman" w:eastAsia="黑体"/>
          <w:b/>
          <w:bCs/>
          <w:color w:val="auto"/>
          <w:sz w:val="28"/>
          <w:szCs w:val="28"/>
          <w:lang w:val="en-US" w:eastAsia="zh-CN"/>
        </w:rPr>
        <w:t>六、</w:t>
      </w:r>
      <w:r>
        <w:rPr>
          <w:rFonts w:hint="eastAsia" w:ascii="Times New Roman" w:hAnsi="Times New Roman" w:eastAsia="黑体"/>
          <w:b/>
          <w:bCs/>
          <w:color w:val="auto"/>
          <w:sz w:val="28"/>
          <w:szCs w:val="28"/>
          <w:lang w:val="pt-PT" w:eastAsia="zh-CN"/>
        </w:rPr>
        <w:t>采用国际标准和国外先进标准的情况</w:t>
      </w:r>
      <w:bookmarkEnd w:id="45"/>
      <w:bookmarkEnd w:id="46"/>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rFonts w:hint="eastAsia" w:ascii="Times New Roman" w:hAnsi="Times New Roman"/>
          <w:color w:val="auto"/>
          <w:kern w:val="0"/>
          <w:sz w:val="24"/>
          <w:szCs w:val="24"/>
          <w:lang w:val="pt-PT"/>
        </w:rPr>
      </w:pPr>
      <w:bookmarkStart w:id="47" w:name="_Toc457303124"/>
      <w:bookmarkStart w:id="48" w:name="_Toc457302958"/>
      <w:r>
        <w:rPr>
          <w:rFonts w:hint="eastAsia" w:ascii="Times New Roman" w:hAnsi="Times New Roman"/>
          <w:color w:val="auto"/>
          <w:kern w:val="0"/>
          <w:sz w:val="24"/>
          <w:szCs w:val="24"/>
          <w:lang w:val="pt-PT"/>
        </w:rPr>
        <w:t>本标准不等同采用或修改采用国际标准和国外先进标准。</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ascii="Times New Roman" w:hAnsi="Times New Roman" w:eastAsia="黑体"/>
          <w:b/>
          <w:bCs/>
          <w:color w:val="auto"/>
          <w:sz w:val="28"/>
          <w:szCs w:val="28"/>
        </w:rPr>
      </w:pPr>
      <w:bookmarkStart w:id="49" w:name="_Toc18484929"/>
      <w:bookmarkStart w:id="50" w:name="_Toc326486671"/>
      <w:bookmarkStart w:id="51" w:name="_Toc281071237"/>
      <w:bookmarkStart w:id="52" w:name="_Toc7169"/>
      <w:r>
        <w:rPr>
          <w:rFonts w:hint="eastAsia" w:ascii="Times New Roman" w:hAnsi="Times New Roman" w:eastAsia="黑体"/>
          <w:b/>
          <w:bCs/>
          <w:color w:val="auto"/>
          <w:sz w:val="28"/>
          <w:szCs w:val="28"/>
          <w:lang w:val="en-US" w:eastAsia="zh-CN"/>
        </w:rPr>
        <w:t>七、</w:t>
      </w:r>
      <w:r>
        <w:rPr>
          <w:rFonts w:hint="eastAsia" w:ascii="Times New Roman" w:hAnsi="Times New Roman" w:eastAsia="黑体"/>
          <w:b/>
          <w:bCs/>
          <w:color w:val="auto"/>
          <w:sz w:val="28"/>
          <w:szCs w:val="28"/>
        </w:rPr>
        <w:t>产业化和预期达到的经济效果等情况</w:t>
      </w:r>
      <w:bookmarkEnd w:id="47"/>
      <w:bookmarkEnd w:id="48"/>
      <w:bookmarkEnd w:id="49"/>
      <w:bookmarkEnd w:id="50"/>
      <w:bookmarkEnd w:id="51"/>
      <w:bookmarkEnd w:id="52"/>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黑体"/>
          <w:bCs w:val="0"/>
          <w:color w:val="auto"/>
          <w:sz w:val="24"/>
          <w:szCs w:val="24"/>
          <w:lang w:val="en-US" w:eastAsia="zh-CN"/>
        </w:rPr>
      </w:pPr>
      <w:r>
        <w:rPr>
          <w:rFonts w:hint="eastAsia" w:asciiTheme="minorEastAsia" w:hAnsiTheme="minorEastAsia" w:eastAsiaTheme="minorEastAsia" w:cstheme="minorEastAsia"/>
          <w:color w:val="auto"/>
          <w:kern w:val="0"/>
          <w:sz w:val="24"/>
          <w:szCs w:val="24"/>
          <w:lang w:val="pt-PT" w:eastAsia="zh-CN"/>
        </w:rPr>
        <w:t>我国工业固体废物年产生量约33亿吨，历史累计堆存量超过600亿吨，占地超过200万公顷，不仅浪费资源、占用土地，而且带来严重的环境和安全隐患，危害生态环境和人体健康。加强工业固体废物资源综合利用，既可以减少对天然资源的开发使用，也能够有效缓解和降低固体废物造成的环境污染和安全隐患，对于促进产业结构优化、培育新的经济增长点、实现工业绿色发展、推进生态文明建设将起到积极的作用。为此国家出台了一系列的政策和法规推动工业固体废物的综合利用，但是到</w:t>
      </w:r>
      <w:r>
        <w:rPr>
          <w:rFonts w:hint="eastAsia" w:asciiTheme="minorEastAsia" w:hAnsiTheme="minorEastAsia" w:eastAsiaTheme="minorEastAsia" w:cstheme="minorEastAsia"/>
          <w:color w:val="auto"/>
          <w:kern w:val="0"/>
          <w:sz w:val="24"/>
          <w:szCs w:val="24"/>
          <w:lang w:val="en-US" w:eastAsia="zh-CN"/>
        </w:rPr>
        <w:t>2018年我国大宗工业固体废物综合利用率仅为53.58%，这一数字已经较2017年有所增长，但仍可看出，在如</w:t>
      </w:r>
      <w:r>
        <w:rPr>
          <w:rFonts w:hint="eastAsia" w:asciiTheme="minorEastAsia" w:hAnsiTheme="minorEastAsia" w:eastAsiaTheme="minorEastAsia" w:cstheme="minorEastAsia"/>
          <w:color w:val="auto"/>
          <w:kern w:val="0"/>
          <w:sz w:val="24"/>
          <w:szCs w:val="24"/>
          <w:lang w:val="pt-PT" w:eastAsia="zh-CN"/>
        </w:rPr>
        <w:t>此巨大的堆存量面前，综合利用仍面临极大的压力。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olor w:val="auto"/>
          <w:kern w:val="0"/>
          <w:sz w:val="24"/>
          <w:szCs w:val="24"/>
          <w:lang w:val="pt-PT" w:eastAsia="zh-CN"/>
        </w:rPr>
      </w:pPr>
      <w:r>
        <w:rPr>
          <w:rFonts w:hint="eastAsia" w:asciiTheme="minorEastAsia" w:hAnsiTheme="minorEastAsia" w:eastAsiaTheme="minorEastAsia" w:cstheme="minorEastAsia"/>
          <w:color w:val="auto"/>
          <w:kern w:val="0"/>
          <w:sz w:val="24"/>
          <w:szCs w:val="24"/>
          <w:lang w:val="en-US" w:eastAsia="zh-CN"/>
        </w:rPr>
        <w:t>建筑材料生产企业中，已经有大部分企业进行了固体废物的综合利用，其中以水泥企业和墙材企业为固废综合利用的大户。</w:t>
      </w:r>
      <w:r>
        <w:rPr>
          <w:rFonts w:hint="eastAsia" w:ascii="Times New Roman" w:hAnsi="Times New Roman"/>
          <w:color w:val="auto"/>
          <w:kern w:val="0"/>
          <w:sz w:val="24"/>
          <w:szCs w:val="24"/>
          <w:lang w:val="pt-PT" w:eastAsia="zh-CN"/>
        </w:rPr>
        <w:t>我国工业固废用于建材生产原料超过15亿吨，其中工业固废用于水泥及相关制品超过5亿吨，用于商品混凝土超过6亿吨，总产值近5000亿元。当前我国工业固废消纳利用的重点领域在建材行业，以水泥行业为例，当前我国水泥年总产量已达到25亿吨，以平均掺入20%的废渣作为混合材计算，年可消纳工业固废5亿吨。此外，很多新型墙体材料如纸面石膏板、加气混凝土砌块、透水砖等的工业固废掺量已接近100%，工业固废已成为建材行业的一大材料来源</w:t>
      </w:r>
      <w:r>
        <w:rPr>
          <w:rFonts w:hint="eastAsia"/>
          <w:color w:val="auto"/>
          <w:kern w:val="0"/>
          <w:sz w:val="24"/>
          <w:szCs w:val="24"/>
          <w:lang w:val="pt-PT" w:eastAsia="zh-CN"/>
        </w:rPr>
        <w:t>，能有效提高企业的经济效益，促进建材行业的发展。</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imes New Roman" w:hAnsi="Times New Roman"/>
          <w:color w:val="auto"/>
          <w:kern w:val="0"/>
          <w:sz w:val="24"/>
          <w:szCs w:val="24"/>
          <w:lang w:val="pt-PT"/>
        </w:rPr>
      </w:pPr>
      <w:r>
        <w:rPr>
          <w:rFonts w:hint="eastAsia"/>
          <w:color w:val="auto"/>
          <w:kern w:val="0"/>
          <w:sz w:val="24"/>
          <w:szCs w:val="24"/>
          <w:lang w:val="pt-PT" w:eastAsia="zh-CN"/>
        </w:rPr>
        <w:t>本标准的发布和实施将推动</w:t>
      </w:r>
      <w:r>
        <w:rPr>
          <w:rFonts w:hint="eastAsia" w:ascii="Times New Roman" w:hAnsi="Times New Roman"/>
          <w:color w:val="auto"/>
          <w:kern w:val="0"/>
          <w:sz w:val="24"/>
          <w:szCs w:val="24"/>
          <w:lang w:val="pt-PT"/>
        </w:rPr>
        <w:t>固体废物在建筑材料中广泛应用</w:t>
      </w:r>
      <w:r>
        <w:rPr>
          <w:rFonts w:hint="eastAsia"/>
          <w:color w:val="auto"/>
          <w:kern w:val="0"/>
          <w:sz w:val="24"/>
          <w:szCs w:val="24"/>
          <w:lang w:val="pt-PT" w:eastAsia="zh-CN"/>
        </w:rPr>
        <w:t>，</w:t>
      </w:r>
      <w:r>
        <w:rPr>
          <w:rFonts w:hint="eastAsia" w:ascii="Times New Roman" w:hAnsi="Times New Roman"/>
          <w:color w:val="auto"/>
          <w:kern w:val="0"/>
          <w:sz w:val="24"/>
          <w:szCs w:val="24"/>
          <w:lang w:val="pt-PT"/>
        </w:rPr>
        <w:t>可以改善传统建材工业高消耗的状况，节约资源、保护环境。随着本标准的发布与实施</w:t>
      </w:r>
      <w:r>
        <w:rPr>
          <w:rFonts w:hint="eastAsia"/>
          <w:color w:val="auto"/>
          <w:kern w:val="0"/>
          <w:sz w:val="24"/>
          <w:szCs w:val="24"/>
          <w:lang w:val="pt-PT" w:eastAsia="zh-CN"/>
        </w:rPr>
        <w:t>，</w:t>
      </w:r>
      <w:r>
        <w:rPr>
          <w:rFonts w:hint="eastAsia" w:ascii="Times New Roman" w:hAnsi="Times New Roman"/>
          <w:color w:val="auto"/>
          <w:kern w:val="0"/>
          <w:sz w:val="24"/>
          <w:szCs w:val="24"/>
          <w:lang w:val="pt-PT"/>
        </w:rPr>
        <w:t>将促使</w:t>
      </w:r>
      <w:r>
        <w:rPr>
          <w:rFonts w:hint="eastAsia" w:ascii="宋体" w:hAnsi="宋体" w:eastAsia="宋体" w:cs="宋体"/>
          <w:color w:val="auto"/>
          <w:sz w:val="24"/>
          <w:szCs w:val="24"/>
          <w:lang w:val="en-US" w:eastAsia="zh-CN"/>
        </w:rPr>
        <w:t>工业</w:t>
      </w:r>
      <w:r>
        <w:rPr>
          <w:rFonts w:hint="eastAsia" w:ascii="Times New Roman" w:hAnsi="Times New Roman"/>
          <w:color w:val="auto"/>
          <w:kern w:val="0"/>
          <w:sz w:val="24"/>
          <w:szCs w:val="24"/>
          <w:lang w:val="pt-PT"/>
        </w:rPr>
        <w:t>固体废物在建材行业综合利用的范围</w:t>
      </w:r>
      <w:r>
        <w:rPr>
          <w:rFonts w:hint="eastAsia"/>
          <w:color w:val="auto"/>
          <w:kern w:val="0"/>
          <w:sz w:val="24"/>
          <w:szCs w:val="24"/>
          <w:lang w:val="pt-PT" w:eastAsia="zh-CN"/>
        </w:rPr>
        <w:t>上</w:t>
      </w:r>
      <w:r>
        <w:rPr>
          <w:rFonts w:hint="eastAsia" w:ascii="Times New Roman" w:hAnsi="Times New Roman"/>
          <w:color w:val="auto"/>
          <w:kern w:val="0"/>
          <w:sz w:val="24"/>
          <w:szCs w:val="24"/>
          <w:lang w:val="pt-PT"/>
        </w:rPr>
        <w:t>、技术上和形式上进一步扩展，将会更充分的利用资源、节约能源、利废和环保，真正走上可持续发展的道路。</w:t>
      </w:r>
      <w:r>
        <w:rPr>
          <w:rFonts w:hint="eastAsia" w:ascii="宋体" w:hAnsi="宋体" w:eastAsia="宋体" w:cs="宋体"/>
          <w:color w:val="auto"/>
          <w:sz w:val="24"/>
          <w:szCs w:val="24"/>
          <w:lang w:val="en-US" w:eastAsia="zh-CN"/>
        </w:rPr>
        <w:t>标准深入贯彻落实绿色发展理念，按照国家相关法律法规和生态文明体制改革的要求，充分发挥标准的引领作用，建立科学、规范的工业固体废物资源综合利用评价机制，引导企业开展工业固体废物资源综合利用，提高综合利用产品质量，促进绿色生产和绿色消费，推动工业绿色发展。</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lang w:val="en-US" w:eastAsia="zh-CN"/>
        </w:rPr>
      </w:pPr>
      <w:r>
        <w:rPr>
          <w:rFonts w:hint="eastAsia"/>
          <w:color w:val="auto"/>
          <w:kern w:val="0"/>
          <w:sz w:val="24"/>
          <w:szCs w:val="24"/>
          <w:lang w:val="pt-PT" w:eastAsia="zh-CN"/>
        </w:rPr>
        <w:t>本标准还为</w:t>
      </w:r>
      <w:r>
        <w:rPr>
          <w:rFonts w:hint="eastAsia" w:ascii="宋体" w:hAnsi="宋体" w:eastAsia="宋体" w:cs="宋体"/>
          <w:color w:val="auto"/>
          <w:sz w:val="24"/>
          <w:szCs w:val="24"/>
          <w:lang w:val="en-US" w:eastAsia="zh-CN"/>
        </w:rPr>
        <w:t>开展自愿性的工业固废资源综合利用评价活动</w:t>
      </w:r>
      <w:r>
        <w:rPr>
          <w:rFonts w:hint="eastAsia" w:ascii="宋体" w:hAnsi="宋体" w:cs="宋体"/>
          <w:color w:val="auto"/>
          <w:sz w:val="24"/>
          <w:szCs w:val="24"/>
          <w:lang w:val="en-US" w:eastAsia="zh-CN"/>
        </w:rPr>
        <w:t>提供了理论和技术支撑。</w:t>
      </w:r>
      <w:r>
        <w:rPr>
          <w:rFonts w:hint="eastAsia" w:ascii="宋体" w:hAnsi="宋体" w:eastAsia="宋体" w:cs="宋体"/>
          <w:color w:val="auto"/>
          <w:sz w:val="24"/>
          <w:szCs w:val="24"/>
          <w:lang w:val="en-US" w:eastAsia="zh-CN"/>
        </w:rPr>
        <w:t>不仅可以为国家实施工业固废资源综合利用各项优惠政策提供保障性的、可行的、基础性的措施，更可以为当前企业贯彻落实</w:t>
      </w:r>
      <w:r>
        <w:rPr>
          <w:rFonts w:hint="eastAsia" w:ascii="宋体" w:hAnsi="宋体" w:cs="宋体"/>
          <w:color w:val="auto"/>
          <w:sz w:val="24"/>
          <w:szCs w:val="24"/>
          <w:lang w:val="en-US" w:eastAsia="zh-CN"/>
        </w:rPr>
        <w:t>《固体废物污染环境防治法》、</w:t>
      </w:r>
      <w:r>
        <w:rPr>
          <w:rFonts w:hint="eastAsia" w:ascii="宋体" w:hAnsi="宋体" w:eastAsia="宋体" w:cs="宋体"/>
          <w:color w:val="auto"/>
          <w:sz w:val="24"/>
          <w:szCs w:val="24"/>
          <w:lang w:eastAsia="zh-CN"/>
        </w:rPr>
        <w:t>《循环经济促进法》</w:t>
      </w:r>
      <w:r>
        <w:rPr>
          <w:rFonts w:hint="eastAsia" w:ascii="宋体" w:hAnsi="宋体" w:eastAsia="宋体" w:cs="宋体"/>
          <w:color w:val="auto"/>
          <w:sz w:val="24"/>
          <w:szCs w:val="24"/>
          <w:lang w:val="en-US" w:eastAsia="zh-CN"/>
        </w:rPr>
        <w:t>和《环境保护税法》，争取得到</w:t>
      </w:r>
      <w:r>
        <w:rPr>
          <w:rFonts w:hint="eastAsia" w:ascii="宋体" w:hAnsi="宋体" w:eastAsia="宋体" w:cs="宋体"/>
          <w:color w:val="auto"/>
          <w:sz w:val="24"/>
          <w:szCs w:val="24"/>
        </w:rPr>
        <w:t>增值税优惠</w:t>
      </w:r>
      <w:r>
        <w:rPr>
          <w:rFonts w:hint="eastAsia" w:ascii="宋体" w:hAnsi="宋体" w:eastAsia="宋体" w:cs="宋体"/>
          <w:color w:val="auto"/>
          <w:sz w:val="24"/>
          <w:szCs w:val="24"/>
          <w:lang w:val="en-US" w:eastAsia="zh-CN"/>
        </w:rPr>
        <w:t>和环境保护税免征政策的最有效的保障工作</w:t>
      </w:r>
      <w:r>
        <w:rPr>
          <w:rFonts w:hint="eastAsia" w:ascii="宋体" w:hAnsi="宋体" w:cs="宋体"/>
          <w:color w:val="auto"/>
          <w:sz w:val="24"/>
          <w:szCs w:val="24"/>
          <w:lang w:val="en-US" w:eastAsia="zh-CN"/>
        </w:rPr>
        <w:t>，</w:t>
      </w:r>
      <w:r>
        <w:rPr>
          <w:rFonts w:hint="eastAsia" w:ascii="Times New Roman" w:hAnsi="Times New Roman"/>
          <w:color w:val="auto"/>
          <w:kern w:val="0"/>
          <w:sz w:val="24"/>
          <w:szCs w:val="24"/>
          <w:lang w:val="pt-PT"/>
        </w:rPr>
        <w:t>具有明显的社会、经济、生态效益。</w:t>
      </w:r>
    </w:p>
    <w:p>
      <w:pPr>
        <w:spacing w:line="360" w:lineRule="auto"/>
        <w:ind w:firstLine="0"/>
        <w:jc w:val="both"/>
        <w:rPr>
          <w:rFonts w:hint="eastAsia" w:ascii="Times New Roman" w:hAnsi="Times New Roman" w:eastAsia="黑体"/>
          <w:b/>
          <w:bCs/>
          <w:color w:val="auto"/>
          <w:kern w:val="2"/>
          <w:sz w:val="28"/>
          <w:szCs w:val="28"/>
          <w:lang w:val="en-US" w:eastAsia="zh-CN" w:bidi="ar-SA"/>
        </w:rPr>
      </w:pPr>
      <w:r>
        <w:rPr>
          <w:rFonts w:hint="eastAsia" w:ascii="Times New Roman" w:hAnsi="Times New Roman" w:eastAsia="黑体"/>
          <w:b/>
          <w:bCs/>
          <w:color w:val="auto"/>
          <w:kern w:val="2"/>
          <w:sz w:val="28"/>
          <w:szCs w:val="28"/>
          <w:lang w:val="en-US" w:eastAsia="zh-CN" w:bidi="ar-SA"/>
        </w:rPr>
        <w:t>八、</w:t>
      </w:r>
      <w:r>
        <w:rPr>
          <w:rFonts w:hint="eastAsia" w:ascii="Times New Roman" w:hAnsi="Times New Roman" w:eastAsia="黑体"/>
          <w:b/>
          <w:bCs/>
          <w:color w:val="auto"/>
          <w:sz w:val="28"/>
          <w:szCs w:val="28"/>
        </w:rPr>
        <w:t>与现行法律、法规和强制性国家标准的关系</w:t>
      </w:r>
    </w:p>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color w:val="auto"/>
          <w:sz w:val="24"/>
        </w:rPr>
      </w:pPr>
      <w:r>
        <w:rPr>
          <w:rFonts w:hint="eastAsia"/>
          <w:color w:val="auto"/>
          <w:sz w:val="24"/>
        </w:rPr>
        <w:t>此标准与现有标准及制定中的标准均无冲突及重复，与现有标准是相互支撑的关系，总体是对现有标准体系有效补充和完善。</w:t>
      </w:r>
    </w:p>
    <w:p>
      <w:pPr>
        <w:pStyle w:val="5"/>
        <w:widowControl w:val="0"/>
        <w:autoSpaceDE/>
        <w:autoSpaceDN/>
        <w:spacing w:line="360" w:lineRule="auto"/>
        <w:ind w:firstLine="480"/>
        <w:rPr>
          <w:rFonts w:hint="eastAsia"/>
          <w:color w:val="auto"/>
          <w:sz w:val="24"/>
          <w:lang w:eastAsia="zh-CN"/>
        </w:rPr>
      </w:pPr>
      <w:r>
        <w:rPr>
          <w:rFonts w:hint="eastAsia"/>
          <w:color w:val="auto"/>
          <w:sz w:val="24"/>
          <w:lang w:eastAsia="zh-CN"/>
        </w:rPr>
        <w:t>本标准进一步实现了中华人民共和国清洁生产促进法（2012年修正版）在促进</w:t>
      </w:r>
      <w:r>
        <w:rPr>
          <w:rFonts w:hint="eastAsia" w:ascii="宋体" w:hAnsi="宋体" w:eastAsia="宋体" w:cs="宋体"/>
          <w:color w:val="auto"/>
          <w:sz w:val="24"/>
          <w:szCs w:val="24"/>
          <w:lang w:val="en-US" w:eastAsia="zh-CN"/>
        </w:rPr>
        <w:t>循环经济发展，提高资源利用效率，保护和改善环境，实现可持续发展</w:t>
      </w:r>
      <w:r>
        <w:rPr>
          <w:rFonts w:hint="eastAsia" w:ascii="宋体" w:hAnsi="宋体" w:cs="宋体"/>
          <w:color w:val="auto"/>
          <w:sz w:val="24"/>
          <w:szCs w:val="24"/>
          <w:lang w:val="en-US" w:eastAsia="zh-CN"/>
        </w:rPr>
        <w:t>的目的</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也是</w:t>
      </w:r>
      <w:r>
        <w:rPr>
          <w:rFonts w:hint="eastAsia"/>
          <w:color w:val="auto"/>
          <w:sz w:val="24"/>
        </w:rPr>
        <w:t>中华人民共和国固体废物污染环境防治法</w:t>
      </w:r>
      <w:r>
        <w:rPr>
          <w:rFonts w:hint="eastAsia"/>
          <w:color w:val="auto"/>
          <w:sz w:val="24"/>
          <w:lang w:eastAsia="zh-CN"/>
        </w:rPr>
        <w:t>（</w:t>
      </w:r>
      <w:r>
        <w:rPr>
          <w:rFonts w:hint="eastAsia"/>
          <w:color w:val="auto"/>
          <w:sz w:val="24"/>
          <w:lang w:val="en-US" w:eastAsia="zh-CN"/>
        </w:rPr>
        <w:t>2016年修订版</w:t>
      </w:r>
      <w:r>
        <w:rPr>
          <w:rFonts w:hint="eastAsia"/>
          <w:color w:val="auto"/>
          <w:sz w:val="24"/>
          <w:lang w:eastAsia="zh-CN"/>
        </w:rPr>
        <w:t>）在固体废物综合利用方面的具体实践，标准中相关要求的设置也引用了两部法律中的相关规定。</w:t>
      </w:r>
    </w:p>
    <w:p>
      <w:pPr>
        <w:pStyle w:val="5"/>
        <w:widowControl w:val="0"/>
        <w:autoSpaceDE/>
        <w:autoSpaceDN/>
        <w:spacing w:line="360" w:lineRule="auto"/>
        <w:ind w:firstLine="480"/>
        <w:rPr>
          <w:rFonts w:hint="eastAsia" w:hAnsi="Times New Roman"/>
          <w:color w:val="auto"/>
          <w:sz w:val="24"/>
        </w:rPr>
      </w:pPr>
      <w:r>
        <w:rPr>
          <w:rFonts w:hint="eastAsia" w:hAnsi="Times New Roman"/>
          <w:color w:val="auto"/>
          <w:sz w:val="24"/>
        </w:rPr>
        <w:t>国家鼓励的资源综合利用认定管理办法（发改环资﹝2006﹞1864号）</w:t>
      </w:r>
      <w:r>
        <w:rPr>
          <w:rFonts w:hint="eastAsia"/>
          <w:color w:val="auto"/>
          <w:sz w:val="24"/>
          <w:lang w:eastAsia="zh-CN"/>
        </w:rPr>
        <w:t>、</w:t>
      </w:r>
      <w:r>
        <w:rPr>
          <w:rFonts w:hint="eastAsia" w:hAnsi="Times New Roman"/>
          <w:color w:val="auto"/>
          <w:sz w:val="24"/>
        </w:rPr>
        <w:t>资源综合利用企业所得税优惠目录（2008年版）（财税2008）117号）</w:t>
      </w:r>
      <w:r>
        <w:rPr>
          <w:rFonts w:hint="eastAsia"/>
          <w:color w:val="auto"/>
          <w:sz w:val="24"/>
          <w:lang w:eastAsia="zh-CN"/>
        </w:rPr>
        <w:t>、</w:t>
      </w:r>
      <w:r>
        <w:rPr>
          <w:rFonts w:hint="eastAsia" w:hAnsi="Times New Roman"/>
          <w:color w:val="auto"/>
          <w:sz w:val="24"/>
        </w:rPr>
        <w:t>关于印发《资源综合利用产品和劳务增值税优惠目录》的通知</w:t>
      </w:r>
      <w:r>
        <w:rPr>
          <w:rFonts w:hint="eastAsia" w:hAnsi="Times New Roman"/>
          <w:color w:val="auto"/>
          <w:sz w:val="24"/>
          <w:lang w:eastAsia="zh-CN"/>
        </w:rPr>
        <w:t>（</w:t>
      </w:r>
      <w:r>
        <w:rPr>
          <w:rFonts w:hint="eastAsia" w:hAnsi="Times New Roman"/>
          <w:color w:val="auto"/>
          <w:sz w:val="24"/>
        </w:rPr>
        <w:t>财税〔2015〕78号</w:t>
      </w:r>
      <w:r>
        <w:rPr>
          <w:rFonts w:hint="eastAsia" w:hAnsi="Times New Roman"/>
          <w:color w:val="auto"/>
          <w:sz w:val="24"/>
          <w:lang w:eastAsia="zh-CN"/>
        </w:rPr>
        <w:t>）</w:t>
      </w:r>
      <w:r>
        <w:rPr>
          <w:rFonts w:hint="eastAsia"/>
          <w:color w:val="auto"/>
          <w:sz w:val="24"/>
          <w:lang w:eastAsia="zh-CN"/>
        </w:rPr>
        <w:t>和</w:t>
      </w:r>
      <w:r>
        <w:rPr>
          <w:rFonts w:hint="eastAsia" w:hAnsi="Times New Roman"/>
          <w:color w:val="auto"/>
          <w:sz w:val="24"/>
        </w:rPr>
        <w:t>财政部 税务总局 生态环境部关于环境保护税有关问题的通知</w:t>
      </w:r>
      <w:r>
        <w:rPr>
          <w:rFonts w:hint="eastAsia" w:hAnsi="Times New Roman"/>
          <w:color w:val="auto"/>
          <w:sz w:val="24"/>
          <w:lang w:eastAsia="zh-CN"/>
        </w:rPr>
        <w:t>（</w:t>
      </w:r>
      <w:r>
        <w:rPr>
          <w:rFonts w:hint="eastAsia" w:hAnsi="Times New Roman"/>
          <w:color w:val="auto"/>
          <w:sz w:val="24"/>
        </w:rPr>
        <w:t>财税〔2018〕23号）</w:t>
      </w:r>
      <w:r>
        <w:rPr>
          <w:rFonts w:hint="eastAsia"/>
          <w:color w:val="auto"/>
          <w:sz w:val="24"/>
          <w:lang w:eastAsia="zh-CN"/>
        </w:rPr>
        <w:t>是财税部门颁布的减免税的优惠政策，本标准很好的衔接了上述办法中的要求，使得企业在提升管理水平的同时，还能规范企业固体废物利用量核算，促使企业在申请上述优惠政策时诚信可靠。</w:t>
      </w:r>
    </w:p>
    <w:p>
      <w:pPr>
        <w:spacing w:line="360" w:lineRule="auto"/>
        <w:ind w:firstLine="470" w:firstLineChars="196"/>
        <w:rPr>
          <w:rFonts w:hint="eastAsia" w:ascii="宋体" w:hAnsi="宋体" w:cs="宋体"/>
          <w:color w:val="auto"/>
          <w:sz w:val="24"/>
        </w:rPr>
      </w:pPr>
      <w:r>
        <w:rPr>
          <w:rFonts w:hint="eastAsia" w:ascii="宋体" w:hAnsi="宋体" w:cs="宋体"/>
          <w:color w:val="auto"/>
          <w:sz w:val="24"/>
          <w:lang w:eastAsia="zh-CN"/>
        </w:rPr>
        <w:t>同时本标准还对</w:t>
      </w:r>
      <w:r>
        <w:rPr>
          <w:rFonts w:hint="eastAsia" w:ascii="宋体" w:hAnsi="宋体" w:cs="宋体"/>
          <w:color w:val="auto"/>
          <w:sz w:val="24"/>
        </w:rPr>
        <w:t>《工业固体废物资源综合利用评价管理暂行办法》</w:t>
      </w:r>
      <w:r>
        <w:rPr>
          <w:rFonts w:hint="eastAsia" w:ascii="宋体" w:hAnsi="宋体" w:cs="宋体"/>
          <w:color w:val="auto"/>
          <w:sz w:val="24"/>
          <w:lang w:eastAsia="zh-CN"/>
        </w:rPr>
        <w:t>起到了支撑的作用，有助于相关评价工作的开展。标准中对于资源综合利用产品的要求，则参考了</w:t>
      </w:r>
      <w:r>
        <w:rPr>
          <w:rFonts w:hint="eastAsia" w:ascii="宋体" w:hAnsi="宋体" w:cs="宋体"/>
          <w:color w:val="auto"/>
          <w:sz w:val="24"/>
        </w:rPr>
        <w:t>《国家工业固体废物资源综合利用产品目录》</w:t>
      </w:r>
      <w:r>
        <w:rPr>
          <w:rFonts w:hint="eastAsia" w:ascii="宋体" w:hAnsi="宋体" w:cs="宋体"/>
          <w:color w:val="auto"/>
          <w:sz w:val="24"/>
          <w:lang w:eastAsia="zh-CN"/>
        </w:rPr>
        <w:t>中的要求。</w:t>
      </w:r>
    </w:p>
    <w:p>
      <w:pPr>
        <w:spacing w:line="360" w:lineRule="auto"/>
        <w:ind w:firstLine="470" w:firstLineChars="196"/>
        <w:rPr>
          <w:rFonts w:hint="eastAsia" w:ascii="宋体" w:hAnsi="宋体" w:eastAsia="宋体" w:cs="宋体"/>
          <w:color w:val="auto"/>
          <w:sz w:val="24"/>
          <w:szCs w:val="24"/>
          <w:lang w:eastAsia="zh-CN"/>
        </w:rPr>
      </w:pPr>
      <w:r>
        <w:rPr>
          <w:rFonts w:hint="eastAsia" w:ascii="宋体" w:hAnsi="宋体" w:cs="宋体"/>
          <w:color w:val="auto"/>
          <w:sz w:val="24"/>
          <w:szCs w:val="24"/>
          <w:u w:val="none"/>
          <w:lang w:eastAsia="zh-CN"/>
        </w:rPr>
        <w:t>本标准很好的衔接了我国的法律、法规和相关政策，起到了扶持产业发展，引领行业的作用。</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ascii="Times New Roman" w:hAnsi="Times New Roman" w:eastAsia="黑体"/>
          <w:b/>
          <w:bCs/>
          <w:color w:val="auto"/>
          <w:sz w:val="28"/>
          <w:szCs w:val="28"/>
        </w:rPr>
      </w:pPr>
      <w:bookmarkStart w:id="53" w:name="_Toc457302960"/>
      <w:bookmarkStart w:id="54" w:name="_Toc326486673"/>
      <w:bookmarkStart w:id="55" w:name="_Toc281071240"/>
      <w:bookmarkStart w:id="56" w:name="_Toc457303126"/>
      <w:bookmarkStart w:id="57" w:name="_Toc18484931"/>
      <w:bookmarkStart w:id="58" w:name="_Toc23461"/>
      <w:r>
        <w:rPr>
          <w:rFonts w:hint="eastAsia" w:ascii="Times New Roman" w:hAnsi="Times New Roman" w:eastAsia="黑体"/>
          <w:b/>
          <w:bCs/>
          <w:color w:val="auto"/>
          <w:sz w:val="28"/>
          <w:szCs w:val="28"/>
          <w:lang w:val="en-US" w:eastAsia="zh-CN"/>
        </w:rPr>
        <w:t>九、</w:t>
      </w:r>
      <w:r>
        <w:rPr>
          <w:rFonts w:hint="eastAsia" w:ascii="Times New Roman" w:hAnsi="Times New Roman" w:eastAsia="黑体"/>
          <w:b/>
          <w:bCs/>
          <w:color w:val="auto"/>
          <w:sz w:val="28"/>
          <w:szCs w:val="28"/>
        </w:rPr>
        <w:t>重大分歧意见的处理经过和依据</w:t>
      </w:r>
      <w:bookmarkEnd w:id="53"/>
      <w:bookmarkEnd w:id="54"/>
      <w:bookmarkEnd w:id="55"/>
      <w:bookmarkEnd w:id="56"/>
      <w:bookmarkEnd w:id="57"/>
      <w:bookmarkEnd w:id="58"/>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在形成</w:t>
      </w:r>
      <w:r>
        <w:rPr>
          <w:rFonts w:hint="eastAsia" w:ascii="宋体" w:hAnsi="宋体" w:eastAsia="宋体" w:cs="宋体"/>
          <w:color w:val="auto"/>
          <w:sz w:val="24"/>
          <w:szCs w:val="24"/>
        </w:rPr>
        <w:t>征求意见稿</w:t>
      </w:r>
      <w:r>
        <w:rPr>
          <w:rFonts w:hint="eastAsia" w:ascii="宋体" w:hAnsi="宋体" w:cs="宋体"/>
          <w:color w:val="auto"/>
          <w:sz w:val="24"/>
          <w:szCs w:val="24"/>
          <w:lang w:eastAsia="zh-CN"/>
        </w:rPr>
        <w:t>的过程中，也进行了广泛的意见征集，</w:t>
      </w:r>
      <w:r>
        <w:rPr>
          <w:rFonts w:hint="eastAsia" w:ascii="宋体" w:hAnsi="宋体" w:eastAsia="宋体" w:cs="宋体"/>
          <w:color w:val="auto"/>
          <w:sz w:val="24"/>
          <w:szCs w:val="24"/>
        </w:rPr>
        <w:t>对所</w:t>
      </w:r>
      <w:r>
        <w:rPr>
          <w:rFonts w:hint="eastAsia" w:ascii="宋体" w:hAnsi="宋体" w:cs="宋体"/>
          <w:color w:val="auto"/>
          <w:sz w:val="24"/>
          <w:szCs w:val="24"/>
          <w:lang w:eastAsia="zh-CN"/>
        </w:rPr>
        <w:t>收到的</w:t>
      </w:r>
      <w:r>
        <w:rPr>
          <w:rFonts w:hint="eastAsia" w:ascii="宋体" w:hAnsi="宋体" w:eastAsia="宋体" w:cs="宋体"/>
          <w:color w:val="auto"/>
          <w:sz w:val="24"/>
          <w:szCs w:val="24"/>
        </w:rPr>
        <w:t>反馈做了认真分析研究和讨论，并对标准条文进行了完善和修改。</w:t>
      </w:r>
      <w:r>
        <w:rPr>
          <w:rFonts w:hint="eastAsia" w:ascii="宋体" w:hAnsi="宋体" w:cs="宋体"/>
          <w:color w:val="auto"/>
          <w:sz w:val="24"/>
          <w:szCs w:val="24"/>
          <w:lang w:eastAsia="zh-CN"/>
        </w:rPr>
        <w:t>在收集过程中没有重大分歧意见。</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ascii="Times New Roman" w:hAnsi="Times New Roman" w:eastAsia="黑体"/>
          <w:b/>
          <w:bCs/>
          <w:color w:val="auto"/>
          <w:sz w:val="28"/>
          <w:szCs w:val="28"/>
        </w:rPr>
      </w:pPr>
      <w:bookmarkStart w:id="59" w:name="_Toc18484932"/>
      <w:bookmarkStart w:id="60" w:name="_Toc25423"/>
      <w:r>
        <w:rPr>
          <w:rFonts w:hint="eastAsia" w:ascii="Times New Roman" w:hAnsi="Times New Roman" w:eastAsia="黑体"/>
          <w:b/>
          <w:bCs/>
          <w:color w:val="auto"/>
          <w:sz w:val="28"/>
          <w:szCs w:val="28"/>
          <w:lang w:val="en-US" w:eastAsia="zh-CN"/>
        </w:rPr>
        <w:t>十、</w:t>
      </w:r>
      <w:r>
        <w:rPr>
          <w:rFonts w:hint="eastAsia" w:ascii="Times New Roman" w:hAnsi="Times New Roman" w:eastAsia="黑体"/>
          <w:b/>
          <w:bCs/>
          <w:color w:val="auto"/>
          <w:sz w:val="28"/>
          <w:szCs w:val="28"/>
        </w:rPr>
        <w:t>标准性质的建议说明</w:t>
      </w:r>
      <w:bookmarkEnd w:id="59"/>
      <w:bookmarkEnd w:id="60"/>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本标准为推荐性标准。</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ascii="Times New Roman" w:hAnsi="Times New Roman" w:eastAsia="黑体"/>
          <w:b/>
          <w:bCs/>
          <w:color w:val="auto"/>
          <w:sz w:val="28"/>
          <w:szCs w:val="28"/>
        </w:rPr>
      </w:pPr>
      <w:bookmarkStart w:id="61" w:name="_Toc326486675"/>
      <w:bookmarkStart w:id="62" w:name="_Toc457302962"/>
      <w:bookmarkStart w:id="63" w:name="_Toc18484933"/>
      <w:bookmarkStart w:id="64" w:name="_Toc281071242"/>
      <w:bookmarkStart w:id="65" w:name="_Toc457303128"/>
      <w:bookmarkStart w:id="66" w:name="_Toc2561"/>
      <w:r>
        <w:rPr>
          <w:rFonts w:hint="eastAsia" w:ascii="Times New Roman" w:hAnsi="Times New Roman" w:eastAsia="黑体"/>
          <w:b/>
          <w:bCs/>
          <w:color w:val="auto"/>
          <w:sz w:val="28"/>
          <w:szCs w:val="28"/>
          <w:lang w:val="en-US" w:eastAsia="zh-CN"/>
        </w:rPr>
        <w:t>十一、</w:t>
      </w:r>
      <w:r>
        <w:rPr>
          <w:rFonts w:hint="eastAsia" w:ascii="Times New Roman" w:hAnsi="Times New Roman" w:eastAsia="黑体"/>
          <w:b/>
          <w:bCs/>
          <w:color w:val="auto"/>
          <w:sz w:val="28"/>
          <w:szCs w:val="28"/>
        </w:rPr>
        <w:t>贯彻标准的要求和措施建议</w:t>
      </w:r>
      <w:bookmarkEnd w:id="61"/>
      <w:bookmarkEnd w:id="62"/>
      <w:bookmarkEnd w:id="63"/>
      <w:bookmarkEnd w:id="64"/>
      <w:bookmarkEnd w:id="65"/>
      <w:bookmarkEnd w:id="6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rPr>
      </w:pPr>
      <w:r>
        <w:rPr>
          <w:rFonts w:hint="eastAsia" w:ascii="Times New Roman" w:hAnsi="Times New Roman"/>
          <w:color w:val="auto"/>
          <w:sz w:val="24"/>
        </w:rPr>
        <w:t>基于此，建议在本标准正式出台后，各</w:t>
      </w:r>
      <w:r>
        <w:rPr>
          <w:rFonts w:hint="eastAsia" w:ascii="Times New Roman" w:hAnsi="Times New Roman"/>
          <w:color w:val="auto"/>
          <w:sz w:val="24"/>
          <w:lang w:val="en-US" w:eastAsia="zh-CN"/>
        </w:rPr>
        <w:t>工业</w:t>
      </w:r>
      <w:r>
        <w:rPr>
          <w:rFonts w:hint="eastAsia" w:ascii="Times New Roman" w:hAnsi="Times New Roman"/>
          <w:color w:val="auto"/>
          <w:sz w:val="24"/>
        </w:rPr>
        <w:t>固体废物综合利用</w:t>
      </w:r>
      <w:r>
        <w:rPr>
          <w:rFonts w:hint="eastAsia" w:ascii="Times New Roman" w:hAnsi="Times New Roman"/>
          <w:color w:val="auto"/>
          <w:sz w:val="24"/>
          <w:lang w:val="en-US" w:eastAsia="zh-CN"/>
        </w:rPr>
        <w:t>建筑材料企业</w:t>
      </w:r>
      <w:r>
        <w:rPr>
          <w:rFonts w:hint="eastAsia" w:ascii="Times New Roman" w:hAnsi="Times New Roman"/>
          <w:color w:val="auto"/>
          <w:sz w:val="24"/>
        </w:rPr>
        <w:t>、科研单位、检测机构及地方管理部门能够依据本标准中相关规定对</w:t>
      </w:r>
      <w:r>
        <w:rPr>
          <w:rFonts w:hint="eastAsia" w:ascii="Times New Roman" w:hAnsi="Times New Roman"/>
          <w:color w:val="auto"/>
          <w:sz w:val="24"/>
          <w:lang w:val="en-US" w:eastAsia="zh-CN"/>
        </w:rPr>
        <w:t>固废利用进行规范管理。</w:t>
      </w:r>
      <w:r>
        <w:rPr>
          <w:rFonts w:hint="eastAsia" w:ascii="Times New Roman" w:hAnsi="Times New Roman"/>
          <w:color w:val="auto"/>
          <w:sz w:val="24"/>
        </w:rPr>
        <w:t>具体可以考虑采取以下措施：</w:t>
      </w:r>
    </w:p>
    <w:p>
      <w:pPr>
        <w:numPr>
          <w:ilvl w:val="0"/>
          <w:numId w:val="4"/>
        </w:numPr>
        <w:spacing w:line="360" w:lineRule="auto"/>
        <w:ind w:firstLine="360"/>
        <w:rPr>
          <w:rFonts w:hint="eastAsia" w:ascii="Times New Roman" w:hAnsi="Times New Roman"/>
          <w:color w:val="auto"/>
          <w:sz w:val="24"/>
        </w:rPr>
      </w:pPr>
      <w:r>
        <w:rPr>
          <w:rFonts w:hint="eastAsia" w:ascii="Times New Roman" w:hAnsi="Times New Roman"/>
          <w:color w:val="auto"/>
          <w:sz w:val="24"/>
        </w:rPr>
        <w:t>加大标准宣贯力度，提高行业认知。通过组织宣贯会，或设立专门的答疑咨询人员，为贯标企业解决实际发生问题。组织相关从业人员参与培训班，学习、了解标准相关规定。</w:t>
      </w:r>
    </w:p>
    <w:p>
      <w:pPr>
        <w:numPr>
          <w:ilvl w:val="0"/>
          <w:numId w:val="4"/>
        </w:numPr>
        <w:spacing w:line="360" w:lineRule="auto"/>
        <w:ind w:left="0" w:leftChars="0" w:firstLine="360" w:firstLineChars="0"/>
        <w:rPr>
          <w:rFonts w:hint="eastAsia" w:ascii="Times New Roman" w:hAnsi="Times New Roman" w:cs="Arial"/>
          <w:color w:val="auto"/>
          <w:sz w:val="24"/>
        </w:rPr>
      </w:pPr>
      <w:r>
        <w:rPr>
          <w:rFonts w:hint="eastAsia" w:ascii="Times New Roman" w:hAnsi="Times New Roman"/>
          <w:color w:val="auto"/>
          <w:sz w:val="24"/>
          <w:lang w:val="en-US" w:eastAsia="zh-CN"/>
        </w:rPr>
        <w:t>根据标准要求建设示范企业或基地，</w:t>
      </w:r>
      <w:r>
        <w:rPr>
          <w:rFonts w:hint="eastAsia" w:ascii="Times New Roman" w:hAnsi="Times New Roman" w:cs="Arial"/>
          <w:color w:val="auto"/>
          <w:sz w:val="24"/>
        </w:rPr>
        <w:t>树立行业标杆，推动标准的应用。组织相关企业参观学习标杆企业。</w:t>
      </w:r>
    </w:p>
    <w:p>
      <w:pPr>
        <w:spacing w:line="360" w:lineRule="auto"/>
        <w:ind w:firstLine="360"/>
        <w:rPr>
          <w:rFonts w:ascii="Times New Roman" w:hAnsi="Times New Roman"/>
          <w:color w:val="auto"/>
          <w:sz w:val="24"/>
        </w:rPr>
      </w:pPr>
      <w:r>
        <w:rPr>
          <w:rFonts w:hint="eastAsia" w:ascii="Times New Roman" w:hAnsi="Times New Roman" w:cs="Arial"/>
          <w:color w:val="auto"/>
          <w:sz w:val="24"/>
        </w:rPr>
        <w:t>（3）</w:t>
      </w:r>
      <w:r>
        <w:rPr>
          <w:rFonts w:hint="eastAsia" w:ascii="Times New Roman" w:hAnsi="Times New Roman" w:cs="Arial"/>
          <w:color w:val="auto"/>
          <w:sz w:val="24"/>
          <w:lang w:val="en-US" w:eastAsia="zh-CN"/>
        </w:rPr>
        <w:t>联合相关管理部门</w:t>
      </w:r>
      <w:r>
        <w:rPr>
          <w:rFonts w:hint="eastAsia" w:ascii="Times New Roman" w:hAnsi="Times New Roman" w:cs="Arial"/>
          <w:color w:val="auto"/>
          <w:sz w:val="24"/>
        </w:rPr>
        <w:t>，</w:t>
      </w:r>
      <w:r>
        <w:rPr>
          <w:rFonts w:hint="eastAsia" w:ascii="Times New Roman" w:hAnsi="Times New Roman" w:cs="Arial"/>
          <w:color w:val="auto"/>
          <w:sz w:val="24"/>
          <w:lang w:val="en-US" w:eastAsia="zh-CN"/>
        </w:rPr>
        <w:t>配套标准出台政策或管理方法，</w:t>
      </w:r>
      <w:r>
        <w:rPr>
          <w:rFonts w:hint="eastAsia" w:ascii="Times New Roman" w:hAnsi="Times New Roman" w:cs="Arial"/>
          <w:color w:val="auto"/>
          <w:sz w:val="24"/>
        </w:rPr>
        <w:t>使相关人员了解、熟悉标准，确保</w:t>
      </w:r>
      <w:r>
        <w:rPr>
          <w:rFonts w:hint="eastAsia" w:ascii="Times New Roman" w:hAnsi="Times New Roman" w:cs="Arial"/>
          <w:color w:val="auto"/>
          <w:sz w:val="24"/>
          <w:lang w:val="en-US" w:eastAsia="zh-CN"/>
        </w:rPr>
        <w:t>企业</w:t>
      </w:r>
      <w:r>
        <w:rPr>
          <w:rFonts w:hint="eastAsia" w:ascii="Times New Roman" w:hAnsi="Times New Roman" w:cs="Arial"/>
          <w:color w:val="auto"/>
          <w:sz w:val="24"/>
        </w:rPr>
        <w:t>执</w:t>
      </w:r>
      <w:r>
        <w:rPr>
          <w:rFonts w:hint="eastAsia" w:ascii="Times New Roman" w:hAnsi="Times New Roman"/>
          <w:color w:val="auto"/>
          <w:sz w:val="24"/>
        </w:rPr>
        <w:t>行标准。</w:t>
      </w:r>
    </w:p>
    <w:p>
      <w:pPr>
        <w:spacing w:line="360" w:lineRule="auto"/>
        <w:ind w:firstLine="360"/>
        <w:rPr>
          <w:rFonts w:ascii="Times New Roman" w:hAnsi="Times New Roman"/>
          <w:color w:val="auto"/>
          <w:sz w:val="24"/>
        </w:rPr>
      </w:pPr>
      <w:r>
        <w:rPr>
          <w:rFonts w:hint="eastAsia" w:ascii="Times New Roman" w:hAnsi="Times New Roman"/>
          <w:color w:val="auto"/>
          <w:sz w:val="24"/>
        </w:rPr>
        <w:t>（4）标准化技术人员全面负责贯标实施工作，跟踪服务对贯标中出现的技术问题进行协调处理作好贯标记录，并进行长期监督检查工作。</w:t>
      </w:r>
    </w:p>
    <w:p>
      <w:pPr>
        <w:pStyle w:val="11"/>
        <w:spacing w:beforeLines="50" w:afterLines="100" w:line="360" w:lineRule="auto"/>
        <w:jc w:val="both"/>
        <w:outlineLvl w:val="0"/>
        <w:rPr>
          <w:rFonts w:ascii="Times New Roman" w:hAnsi="Times New Roman" w:eastAsia="黑体"/>
          <w:b/>
          <w:bCs/>
          <w:color w:val="auto"/>
          <w:sz w:val="28"/>
          <w:szCs w:val="28"/>
        </w:rPr>
      </w:pPr>
      <w:bookmarkStart w:id="67" w:name="_Toc281071243"/>
      <w:bookmarkStart w:id="68" w:name="_Toc18484934"/>
      <w:bookmarkStart w:id="69" w:name="_Toc457303129"/>
      <w:bookmarkStart w:id="70" w:name="_Toc457302963"/>
      <w:bookmarkStart w:id="71" w:name="_Toc326486676"/>
      <w:bookmarkStart w:id="72" w:name="_Toc26763"/>
      <w:r>
        <w:rPr>
          <w:rFonts w:hint="eastAsia" w:ascii="Times New Roman" w:hAnsi="Times New Roman" w:eastAsia="黑体"/>
          <w:b/>
          <w:bCs/>
          <w:color w:val="auto"/>
          <w:sz w:val="28"/>
          <w:szCs w:val="28"/>
          <w:lang w:val="en-US" w:eastAsia="zh-CN"/>
        </w:rPr>
        <w:t>十二、</w:t>
      </w:r>
      <w:r>
        <w:rPr>
          <w:rFonts w:hint="eastAsia" w:ascii="Times New Roman" w:hAnsi="Times New Roman" w:eastAsia="黑体"/>
          <w:b/>
          <w:bCs/>
          <w:color w:val="auto"/>
          <w:sz w:val="28"/>
          <w:szCs w:val="28"/>
        </w:rPr>
        <w:t>废止现行相关标准的建议</w:t>
      </w:r>
      <w:bookmarkEnd w:id="67"/>
      <w:bookmarkEnd w:id="68"/>
      <w:bookmarkEnd w:id="69"/>
      <w:bookmarkEnd w:id="70"/>
      <w:bookmarkEnd w:id="71"/>
      <w:bookmarkEnd w:id="72"/>
    </w:p>
    <w:p>
      <w:pPr>
        <w:pStyle w:val="5"/>
        <w:spacing w:line="360" w:lineRule="auto"/>
        <w:ind w:firstLine="480"/>
        <w:rPr>
          <w:rFonts w:cs="Arial"/>
          <w:color w:val="auto"/>
          <w:sz w:val="24"/>
        </w:rPr>
      </w:pPr>
      <w:r>
        <w:rPr>
          <w:rFonts w:hint="eastAsia" w:cs="Arial"/>
          <w:color w:val="auto"/>
          <w:sz w:val="24"/>
        </w:rPr>
        <w:t>无</w:t>
      </w:r>
    </w:p>
    <w:p>
      <w:pPr>
        <w:pStyle w:val="11"/>
        <w:spacing w:beforeLines="50" w:afterLines="100" w:line="360" w:lineRule="auto"/>
        <w:jc w:val="both"/>
        <w:outlineLvl w:val="0"/>
        <w:rPr>
          <w:rFonts w:ascii="Times New Roman" w:hAnsi="Times New Roman" w:eastAsia="黑体"/>
          <w:b/>
          <w:bCs/>
          <w:color w:val="auto"/>
          <w:sz w:val="28"/>
          <w:szCs w:val="28"/>
        </w:rPr>
      </w:pPr>
      <w:bookmarkStart w:id="73" w:name="_Toc457303130"/>
      <w:bookmarkStart w:id="74" w:name="_Toc457302964"/>
      <w:bookmarkStart w:id="75" w:name="_Toc326486677"/>
      <w:bookmarkStart w:id="76" w:name="_Toc281071244"/>
      <w:bookmarkStart w:id="77" w:name="_Toc18484935"/>
      <w:bookmarkStart w:id="78" w:name="_Toc29175"/>
      <w:r>
        <w:rPr>
          <w:rFonts w:hint="eastAsia" w:ascii="Times New Roman" w:hAnsi="Times New Roman" w:eastAsia="黑体"/>
          <w:b/>
          <w:bCs/>
          <w:color w:val="auto"/>
          <w:sz w:val="28"/>
          <w:szCs w:val="28"/>
          <w:lang w:val="en-US" w:eastAsia="zh-CN"/>
        </w:rPr>
        <w:t>十三、</w:t>
      </w:r>
      <w:r>
        <w:rPr>
          <w:rFonts w:hint="eastAsia" w:ascii="Times New Roman" w:hAnsi="Times New Roman" w:eastAsia="黑体"/>
          <w:b/>
          <w:bCs/>
          <w:color w:val="auto"/>
          <w:sz w:val="28"/>
          <w:szCs w:val="28"/>
        </w:rPr>
        <w:t>其它应予说明的事项</w:t>
      </w:r>
      <w:bookmarkEnd w:id="73"/>
      <w:bookmarkEnd w:id="74"/>
      <w:bookmarkEnd w:id="75"/>
      <w:bookmarkEnd w:id="76"/>
      <w:bookmarkEnd w:id="77"/>
      <w:bookmarkEnd w:id="78"/>
    </w:p>
    <w:p>
      <w:pPr>
        <w:pStyle w:val="5"/>
        <w:spacing w:line="360" w:lineRule="auto"/>
        <w:ind w:firstLine="480"/>
        <w:rPr>
          <w:rFonts w:cs="Arial"/>
          <w:color w:val="auto"/>
          <w:sz w:val="24"/>
        </w:rPr>
      </w:pPr>
      <w:r>
        <w:rPr>
          <w:rFonts w:hint="eastAsia" w:cs="Arial"/>
          <w:color w:val="auto"/>
          <w:sz w:val="24"/>
        </w:rPr>
        <w:t>无</w:t>
      </w:r>
    </w:p>
    <w:p>
      <w:pPr>
        <w:pageBreakBefore w:val="0"/>
        <w:kinsoku/>
        <w:wordWrap/>
        <w:overflowPunct/>
        <w:topLinePunct w:val="0"/>
        <w:bidi w:val="0"/>
        <w:adjustRightInd/>
        <w:snapToGrid/>
        <w:spacing w:line="360" w:lineRule="auto"/>
        <w:ind w:firstLine="470" w:firstLineChars="196"/>
        <w:textAlignment w:val="auto"/>
        <w:rPr>
          <w:rFonts w:hint="eastAsia" w:ascii="宋体" w:hAnsi="宋体" w:eastAsia="宋体" w:cs="宋体"/>
          <w:color w:val="auto"/>
          <w:sz w:val="24"/>
          <w:szCs w:val="24"/>
        </w:rPr>
      </w:pPr>
    </w:p>
    <w:p>
      <w:pPr>
        <w:pageBreakBefore w:val="0"/>
        <w:kinsoku/>
        <w:wordWrap/>
        <w:overflowPunct/>
        <w:topLinePunct w:val="0"/>
        <w:bidi w:val="0"/>
        <w:adjustRightInd/>
        <w:snapToGrid/>
        <w:spacing w:line="360" w:lineRule="auto"/>
        <w:ind w:firstLine="470" w:firstLineChars="196"/>
        <w:textAlignment w:val="auto"/>
        <w:rPr>
          <w:rFonts w:hint="eastAsia" w:ascii="宋体" w:hAnsi="宋体" w:eastAsia="宋体" w:cs="宋体"/>
          <w:color w:val="auto"/>
          <w:sz w:val="24"/>
          <w:szCs w:val="24"/>
        </w:rPr>
      </w:pPr>
    </w:p>
    <w:p>
      <w:pPr>
        <w:pStyle w:val="5"/>
        <w:spacing w:line="360" w:lineRule="auto"/>
        <w:ind w:firstLine="0" w:firstLineChars="0"/>
        <w:jc w:val="right"/>
        <w:rPr>
          <w:rFonts w:cs="Arial"/>
          <w:color w:val="auto"/>
          <w:sz w:val="24"/>
        </w:rPr>
      </w:pPr>
      <w:r>
        <w:rPr>
          <w:rFonts w:hint="eastAsia" w:cs="Arial"/>
          <w:color w:val="auto"/>
          <w:sz w:val="24"/>
        </w:rPr>
        <w:t xml:space="preserve"> 标准编制组</w:t>
      </w:r>
    </w:p>
    <w:p>
      <w:pPr>
        <w:pStyle w:val="5"/>
        <w:spacing w:line="360" w:lineRule="auto"/>
        <w:ind w:firstLine="0" w:firstLineChars="0"/>
        <w:jc w:val="right"/>
        <w:rPr>
          <w:rFonts w:cs="Arial"/>
          <w:color w:val="auto"/>
          <w:sz w:val="24"/>
        </w:rPr>
      </w:pPr>
      <w:r>
        <w:rPr>
          <w:rFonts w:hint="eastAsia" w:cs="Arial"/>
          <w:color w:val="auto"/>
          <w:sz w:val="24"/>
        </w:rPr>
        <w:t>20</w:t>
      </w:r>
      <w:r>
        <w:rPr>
          <w:rFonts w:hint="eastAsia" w:cs="Arial"/>
          <w:color w:val="auto"/>
          <w:sz w:val="24"/>
          <w:lang w:val="en-US" w:eastAsia="zh-CN"/>
        </w:rPr>
        <w:t>20</w:t>
      </w:r>
      <w:r>
        <w:rPr>
          <w:rFonts w:hint="eastAsia" w:cs="Arial"/>
          <w:color w:val="auto"/>
          <w:sz w:val="24"/>
        </w:rPr>
        <w:t>年</w:t>
      </w:r>
      <w:r>
        <w:rPr>
          <w:rFonts w:hint="eastAsia" w:cs="Arial"/>
          <w:color w:val="auto"/>
          <w:sz w:val="24"/>
          <w:lang w:val="en-US" w:eastAsia="zh-CN"/>
        </w:rPr>
        <w:t>3</w:t>
      </w:r>
      <w:r>
        <w:rPr>
          <w:rFonts w:hint="eastAsia" w:cs="Arial"/>
          <w:color w:val="auto"/>
          <w:sz w:val="24"/>
        </w:rPr>
        <w:t>月</w:t>
      </w:r>
    </w:p>
    <w:p>
      <w:pPr>
        <w:pageBreakBefore w:val="0"/>
        <w:kinsoku/>
        <w:wordWrap/>
        <w:overflowPunct/>
        <w:topLinePunct w:val="0"/>
        <w:bidi w:val="0"/>
        <w:adjustRightInd/>
        <w:snapToGrid/>
        <w:spacing w:line="360" w:lineRule="auto"/>
        <w:ind w:firstLine="470" w:firstLineChars="196"/>
        <w:textAlignment w:val="auto"/>
        <w:rPr>
          <w:rFonts w:hint="eastAsia" w:ascii="宋体" w:hAnsi="宋体" w:eastAsia="宋体" w:cs="宋体"/>
          <w:color w:val="auto"/>
          <w:sz w:val="24"/>
          <w:szCs w:val="24"/>
        </w:rPr>
      </w:pPr>
    </w:p>
    <w:sectPr>
      <w:footerReference r:id="rId8" w:type="first"/>
      <w:headerReference r:id="rId6" w:type="default"/>
      <w:footerReference r:id="rId7" w:type="default"/>
      <w:pgSz w:w="11906" w:h="16838"/>
      <w:pgMar w:top="1440" w:right="1797" w:bottom="1440" w:left="1797" w:header="851" w:footer="992" w:gutter="0"/>
      <w:pgNumType w:fmt="decimal" w:start="1"/>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7"/>
                            </w:rPr>
                          </w:pPr>
                          <w:r>
                            <w:fldChar w:fldCharType="begin"/>
                          </w:r>
                          <w:r>
                            <w:rPr>
                              <w:rStyle w:val="17"/>
                            </w:rPr>
                            <w:instrText xml:space="preserve">PAGE  </w:instrText>
                          </w:r>
                          <w:r>
                            <w:fldChar w:fldCharType="separate"/>
                          </w:r>
                          <w:r>
                            <w:rPr>
                              <w:rStyle w:val="17"/>
                            </w:rPr>
                            <w:t>11</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Style w:val="17"/>
                      </w:rPr>
                    </w:pPr>
                    <w:r>
                      <w:fldChar w:fldCharType="begin"/>
                    </w:r>
                    <w:r>
                      <w:rPr>
                        <w:rStyle w:val="17"/>
                      </w:rPr>
                      <w:instrText xml:space="preserve">PAGE  </w:instrText>
                    </w:r>
                    <w:r>
                      <w:fldChar w:fldCharType="separate"/>
                    </w:r>
                    <w:r>
                      <w:rPr>
                        <w:rStyle w:val="17"/>
                      </w:rPr>
                      <w:t>11</w:t>
                    </w:r>
                    <w: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7"/>
      </w:rPr>
    </w:pPr>
    <w:r>
      <w:fldChar w:fldCharType="begin"/>
    </w:r>
    <w:r>
      <w:rPr>
        <w:rStyle w:val="17"/>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7"/>
                            </w:rPr>
                          </w:pPr>
                          <w:r>
                            <w:fldChar w:fldCharType="begin"/>
                          </w:r>
                          <w:r>
                            <w:rPr>
                              <w:rStyle w:val="17"/>
                            </w:rPr>
                            <w:instrText xml:space="preserve">PAGE  </w:instrText>
                          </w:r>
                          <w:r>
                            <w:fldChar w:fldCharType="separate"/>
                          </w:r>
                          <w:r>
                            <w:rPr>
                              <w:rStyle w:val="17"/>
                            </w:rP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Style w:val="17"/>
                      </w:rPr>
                    </w:pPr>
                    <w:r>
                      <w:fldChar w:fldCharType="begin"/>
                    </w:r>
                    <w:r>
                      <w:rPr>
                        <w:rStyle w:val="17"/>
                      </w:rPr>
                      <w:instrText xml:space="preserve">PAGE  </w:instrText>
                    </w:r>
                    <w:r>
                      <w:fldChar w:fldCharType="separate"/>
                    </w:r>
                    <w:r>
                      <w:rPr>
                        <w:rStyle w:val="17"/>
                      </w:rPr>
                      <w:t>11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A6FA8E"/>
    <w:multiLevelType w:val="singleLevel"/>
    <w:tmpl w:val="FBA6FA8E"/>
    <w:lvl w:ilvl="0" w:tentative="0">
      <w:start w:val="4"/>
      <w:numFmt w:val="chineseCounting"/>
      <w:suff w:val="nothing"/>
      <w:lvlText w:val="%1、"/>
      <w:lvlJc w:val="left"/>
      <w:rPr>
        <w:rFonts w:hint="eastAsia"/>
      </w:rPr>
    </w:lvl>
  </w:abstractNum>
  <w:abstractNum w:abstractNumId="1">
    <w:nsid w:val="FBF48138"/>
    <w:multiLevelType w:val="singleLevel"/>
    <w:tmpl w:val="FBF48138"/>
    <w:lvl w:ilvl="0" w:tentative="0">
      <w:start w:val="1"/>
      <w:numFmt w:val="decimal"/>
      <w:suff w:val="nothing"/>
      <w:lvlText w:val="（%1）"/>
      <w:lvlJc w:val="left"/>
    </w:lvl>
  </w:abstractNum>
  <w:abstractNum w:abstractNumId="2">
    <w:nsid w:val="079102AD"/>
    <w:multiLevelType w:val="multilevel"/>
    <w:tmpl w:val="079102AD"/>
    <w:lvl w:ilvl="0" w:tentative="0">
      <w:start w:val="1"/>
      <w:numFmt w:val="decimal"/>
      <w:pStyle w:val="2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1FC91163"/>
    <w:multiLevelType w:val="multilevel"/>
    <w:tmpl w:val="1FC91163"/>
    <w:lvl w:ilvl="0" w:tentative="0">
      <w:start w:val="1"/>
      <w:numFmt w:val="decimal"/>
      <w:pStyle w:val="3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42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7"/>
      <w:suff w:val="nothing"/>
      <w:lvlText w:val="%1.%2.%3　"/>
      <w:lvlJc w:val="left"/>
      <w:pPr>
        <w:ind w:left="284" w:firstLine="0"/>
      </w:pPr>
      <w:rPr>
        <w:rFonts w:hint="eastAsia" w:ascii="黑体" w:hAnsi="Times New Roman" w:eastAsia="黑体"/>
        <w:b w:val="0"/>
        <w:i w:val="0"/>
        <w:sz w:val="21"/>
      </w:rPr>
    </w:lvl>
    <w:lvl w:ilvl="3" w:tentative="0">
      <w:start w:val="1"/>
      <w:numFmt w:val="decimal"/>
      <w:pStyle w:val="26"/>
      <w:suff w:val="nothing"/>
      <w:lvlText w:val="%1.%2.%3.%4　"/>
      <w:lvlJc w:val="left"/>
      <w:pPr>
        <w:ind w:left="0" w:firstLine="0"/>
      </w:pPr>
      <w:rPr>
        <w:rFonts w:hint="eastAsia" w:ascii="黑体" w:hAnsi="Times New Roman" w:eastAsia="黑体"/>
        <w:b w:val="0"/>
        <w:i w:val="0"/>
        <w:sz w:val="21"/>
      </w:rPr>
    </w:lvl>
    <w:lvl w:ilvl="4" w:tentative="0">
      <w:start w:val="1"/>
      <w:numFmt w:val="decimal"/>
      <w:pStyle w:val="30"/>
      <w:suff w:val="nothing"/>
      <w:lvlText w:val="%1.%2.%3.%4.%5　"/>
      <w:lvlJc w:val="left"/>
      <w:pPr>
        <w:ind w:left="0" w:firstLine="0"/>
      </w:pPr>
      <w:rPr>
        <w:rFonts w:hint="eastAsia" w:ascii="黑体" w:hAnsi="Times New Roman" w:eastAsia="黑体"/>
        <w:b w:val="0"/>
        <w:i w:val="0"/>
        <w:sz w:val="21"/>
      </w:rPr>
    </w:lvl>
    <w:lvl w:ilvl="5" w:tentative="0">
      <w:start w:val="1"/>
      <w:numFmt w:val="decimal"/>
      <w:pStyle w:val="2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EF"/>
    <w:rsid w:val="00001849"/>
    <w:rsid w:val="000108FA"/>
    <w:rsid w:val="00010A40"/>
    <w:rsid w:val="00010A72"/>
    <w:rsid w:val="00011389"/>
    <w:rsid w:val="00012739"/>
    <w:rsid w:val="00015F7C"/>
    <w:rsid w:val="00016A5A"/>
    <w:rsid w:val="000223FC"/>
    <w:rsid w:val="00024862"/>
    <w:rsid w:val="00025341"/>
    <w:rsid w:val="0002586A"/>
    <w:rsid w:val="00026738"/>
    <w:rsid w:val="0003011A"/>
    <w:rsid w:val="00037734"/>
    <w:rsid w:val="00041A7E"/>
    <w:rsid w:val="00041BC0"/>
    <w:rsid w:val="00042D45"/>
    <w:rsid w:val="000474D7"/>
    <w:rsid w:val="0004761F"/>
    <w:rsid w:val="00050BDF"/>
    <w:rsid w:val="00050BF7"/>
    <w:rsid w:val="00051BEF"/>
    <w:rsid w:val="00056191"/>
    <w:rsid w:val="000575EE"/>
    <w:rsid w:val="000600B4"/>
    <w:rsid w:val="00061884"/>
    <w:rsid w:val="00061893"/>
    <w:rsid w:val="0006215A"/>
    <w:rsid w:val="000644B3"/>
    <w:rsid w:val="00065737"/>
    <w:rsid w:val="000707F6"/>
    <w:rsid w:val="00072A97"/>
    <w:rsid w:val="00072CDA"/>
    <w:rsid w:val="000744F1"/>
    <w:rsid w:val="00076BCA"/>
    <w:rsid w:val="00077AD2"/>
    <w:rsid w:val="00077D0E"/>
    <w:rsid w:val="00080016"/>
    <w:rsid w:val="00080267"/>
    <w:rsid w:val="00080514"/>
    <w:rsid w:val="00083DA2"/>
    <w:rsid w:val="000857DB"/>
    <w:rsid w:val="00087498"/>
    <w:rsid w:val="00090D3F"/>
    <w:rsid w:val="00090EC4"/>
    <w:rsid w:val="00091CEF"/>
    <w:rsid w:val="00092E4C"/>
    <w:rsid w:val="0009522B"/>
    <w:rsid w:val="0009574B"/>
    <w:rsid w:val="000973C6"/>
    <w:rsid w:val="000A06AB"/>
    <w:rsid w:val="000A2461"/>
    <w:rsid w:val="000A25B4"/>
    <w:rsid w:val="000A382F"/>
    <w:rsid w:val="000A44B6"/>
    <w:rsid w:val="000A4D5B"/>
    <w:rsid w:val="000A628F"/>
    <w:rsid w:val="000A787B"/>
    <w:rsid w:val="000B057C"/>
    <w:rsid w:val="000B09B4"/>
    <w:rsid w:val="000B191E"/>
    <w:rsid w:val="000B5394"/>
    <w:rsid w:val="000B7CB1"/>
    <w:rsid w:val="000C18E7"/>
    <w:rsid w:val="000C5DA5"/>
    <w:rsid w:val="000C5EE3"/>
    <w:rsid w:val="000D0609"/>
    <w:rsid w:val="000D06F8"/>
    <w:rsid w:val="000D1102"/>
    <w:rsid w:val="000D33FC"/>
    <w:rsid w:val="000D3A44"/>
    <w:rsid w:val="000D6BD5"/>
    <w:rsid w:val="000E2475"/>
    <w:rsid w:val="000E24ED"/>
    <w:rsid w:val="000E4869"/>
    <w:rsid w:val="000E4CB3"/>
    <w:rsid w:val="000F1791"/>
    <w:rsid w:val="000F411B"/>
    <w:rsid w:val="000F522E"/>
    <w:rsid w:val="00102D3A"/>
    <w:rsid w:val="0010486F"/>
    <w:rsid w:val="00106A3E"/>
    <w:rsid w:val="00106F1D"/>
    <w:rsid w:val="00107CCA"/>
    <w:rsid w:val="00111A73"/>
    <w:rsid w:val="00113E18"/>
    <w:rsid w:val="00115E78"/>
    <w:rsid w:val="00121BC0"/>
    <w:rsid w:val="00121D45"/>
    <w:rsid w:val="00126ADA"/>
    <w:rsid w:val="0013188B"/>
    <w:rsid w:val="00132187"/>
    <w:rsid w:val="00133329"/>
    <w:rsid w:val="00134FFB"/>
    <w:rsid w:val="00137CB3"/>
    <w:rsid w:val="00141B0E"/>
    <w:rsid w:val="00143858"/>
    <w:rsid w:val="00147DF9"/>
    <w:rsid w:val="00147F56"/>
    <w:rsid w:val="001508ED"/>
    <w:rsid w:val="00150CB9"/>
    <w:rsid w:val="00150DB9"/>
    <w:rsid w:val="00153D67"/>
    <w:rsid w:val="001548EA"/>
    <w:rsid w:val="00155850"/>
    <w:rsid w:val="001613D1"/>
    <w:rsid w:val="0016209A"/>
    <w:rsid w:val="00166795"/>
    <w:rsid w:val="00166D45"/>
    <w:rsid w:val="00167F18"/>
    <w:rsid w:val="00171040"/>
    <w:rsid w:val="0017170B"/>
    <w:rsid w:val="00172EC9"/>
    <w:rsid w:val="001744EA"/>
    <w:rsid w:val="00174EBF"/>
    <w:rsid w:val="00177871"/>
    <w:rsid w:val="00177FFC"/>
    <w:rsid w:val="001816C1"/>
    <w:rsid w:val="00181E65"/>
    <w:rsid w:val="00186920"/>
    <w:rsid w:val="00187239"/>
    <w:rsid w:val="00191CFF"/>
    <w:rsid w:val="00191DAB"/>
    <w:rsid w:val="00193053"/>
    <w:rsid w:val="00193ED6"/>
    <w:rsid w:val="00194986"/>
    <w:rsid w:val="001A1101"/>
    <w:rsid w:val="001A323E"/>
    <w:rsid w:val="001A3F0D"/>
    <w:rsid w:val="001B0218"/>
    <w:rsid w:val="001B151A"/>
    <w:rsid w:val="001B6B73"/>
    <w:rsid w:val="001B75D4"/>
    <w:rsid w:val="001C0885"/>
    <w:rsid w:val="001D21A5"/>
    <w:rsid w:val="001D2420"/>
    <w:rsid w:val="001D3878"/>
    <w:rsid w:val="001D3CBE"/>
    <w:rsid w:val="001D4F29"/>
    <w:rsid w:val="001D68FE"/>
    <w:rsid w:val="001D6AC8"/>
    <w:rsid w:val="001E2929"/>
    <w:rsid w:val="001E47DA"/>
    <w:rsid w:val="001E5141"/>
    <w:rsid w:val="001E608A"/>
    <w:rsid w:val="001F1264"/>
    <w:rsid w:val="001F1BB6"/>
    <w:rsid w:val="001F52ED"/>
    <w:rsid w:val="001F63B4"/>
    <w:rsid w:val="001F674E"/>
    <w:rsid w:val="001F69F5"/>
    <w:rsid w:val="00200E63"/>
    <w:rsid w:val="00204661"/>
    <w:rsid w:val="00211CE1"/>
    <w:rsid w:val="00211F09"/>
    <w:rsid w:val="00211FCF"/>
    <w:rsid w:val="00213560"/>
    <w:rsid w:val="00214685"/>
    <w:rsid w:val="00214DF9"/>
    <w:rsid w:val="00221713"/>
    <w:rsid w:val="00221CE3"/>
    <w:rsid w:val="00222336"/>
    <w:rsid w:val="00224B9E"/>
    <w:rsid w:val="00225CB2"/>
    <w:rsid w:val="00225CD1"/>
    <w:rsid w:val="00226789"/>
    <w:rsid w:val="0022767A"/>
    <w:rsid w:val="0023048C"/>
    <w:rsid w:val="00230C3D"/>
    <w:rsid w:val="00230C7D"/>
    <w:rsid w:val="00231DE8"/>
    <w:rsid w:val="00232E17"/>
    <w:rsid w:val="00235809"/>
    <w:rsid w:val="00243D6E"/>
    <w:rsid w:val="00245604"/>
    <w:rsid w:val="00245628"/>
    <w:rsid w:val="002462E3"/>
    <w:rsid w:val="002466A4"/>
    <w:rsid w:val="00251D8A"/>
    <w:rsid w:val="00253736"/>
    <w:rsid w:val="002537CB"/>
    <w:rsid w:val="002550E9"/>
    <w:rsid w:val="002562FC"/>
    <w:rsid w:val="00257B8E"/>
    <w:rsid w:val="00257C59"/>
    <w:rsid w:val="00262DAF"/>
    <w:rsid w:val="0026358A"/>
    <w:rsid w:val="0026619D"/>
    <w:rsid w:val="00266302"/>
    <w:rsid w:val="002712E7"/>
    <w:rsid w:val="0027211C"/>
    <w:rsid w:val="00275657"/>
    <w:rsid w:val="00280747"/>
    <w:rsid w:val="00285DD5"/>
    <w:rsid w:val="00290782"/>
    <w:rsid w:val="002909B4"/>
    <w:rsid w:val="00291230"/>
    <w:rsid w:val="002918AC"/>
    <w:rsid w:val="0029235C"/>
    <w:rsid w:val="00293DA0"/>
    <w:rsid w:val="002946C4"/>
    <w:rsid w:val="00296160"/>
    <w:rsid w:val="002967A7"/>
    <w:rsid w:val="002A0E3C"/>
    <w:rsid w:val="002A261D"/>
    <w:rsid w:val="002A44BF"/>
    <w:rsid w:val="002A4FF7"/>
    <w:rsid w:val="002A6DC4"/>
    <w:rsid w:val="002B05F0"/>
    <w:rsid w:val="002B1B0E"/>
    <w:rsid w:val="002B2559"/>
    <w:rsid w:val="002B2E53"/>
    <w:rsid w:val="002B2FD8"/>
    <w:rsid w:val="002B374B"/>
    <w:rsid w:val="002B5EC0"/>
    <w:rsid w:val="002B5F15"/>
    <w:rsid w:val="002B5FCD"/>
    <w:rsid w:val="002B77BA"/>
    <w:rsid w:val="002C0D71"/>
    <w:rsid w:val="002C0DAF"/>
    <w:rsid w:val="002C2980"/>
    <w:rsid w:val="002C3439"/>
    <w:rsid w:val="002C3495"/>
    <w:rsid w:val="002C6345"/>
    <w:rsid w:val="002C7A1D"/>
    <w:rsid w:val="002D07CE"/>
    <w:rsid w:val="002D14D0"/>
    <w:rsid w:val="002D1F25"/>
    <w:rsid w:val="002D385C"/>
    <w:rsid w:val="002D3B23"/>
    <w:rsid w:val="002D4FAD"/>
    <w:rsid w:val="002D5C7D"/>
    <w:rsid w:val="002D6431"/>
    <w:rsid w:val="002E1B0A"/>
    <w:rsid w:val="002E34D4"/>
    <w:rsid w:val="002E34D8"/>
    <w:rsid w:val="002E515B"/>
    <w:rsid w:val="002E5531"/>
    <w:rsid w:val="002E63B8"/>
    <w:rsid w:val="002E7D8E"/>
    <w:rsid w:val="002F0D69"/>
    <w:rsid w:val="002F14CB"/>
    <w:rsid w:val="002F1780"/>
    <w:rsid w:val="002F3A7F"/>
    <w:rsid w:val="002F4556"/>
    <w:rsid w:val="00300B39"/>
    <w:rsid w:val="0030108D"/>
    <w:rsid w:val="003013E1"/>
    <w:rsid w:val="00303AE8"/>
    <w:rsid w:val="00303B4A"/>
    <w:rsid w:val="00304669"/>
    <w:rsid w:val="00306879"/>
    <w:rsid w:val="00311423"/>
    <w:rsid w:val="00311C50"/>
    <w:rsid w:val="00315EAA"/>
    <w:rsid w:val="00316655"/>
    <w:rsid w:val="00317975"/>
    <w:rsid w:val="00317FAA"/>
    <w:rsid w:val="00322ABD"/>
    <w:rsid w:val="00331F08"/>
    <w:rsid w:val="003328CE"/>
    <w:rsid w:val="003337BB"/>
    <w:rsid w:val="00333DD6"/>
    <w:rsid w:val="003345E3"/>
    <w:rsid w:val="00335975"/>
    <w:rsid w:val="003377DB"/>
    <w:rsid w:val="00337D09"/>
    <w:rsid w:val="003409F6"/>
    <w:rsid w:val="00340ADE"/>
    <w:rsid w:val="0034557F"/>
    <w:rsid w:val="003508D3"/>
    <w:rsid w:val="00351DD9"/>
    <w:rsid w:val="0035251C"/>
    <w:rsid w:val="0035489B"/>
    <w:rsid w:val="0035625A"/>
    <w:rsid w:val="003609F1"/>
    <w:rsid w:val="00360B53"/>
    <w:rsid w:val="00360D87"/>
    <w:rsid w:val="00362A6A"/>
    <w:rsid w:val="003655F7"/>
    <w:rsid w:val="00365654"/>
    <w:rsid w:val="0036688B"/>
    <w:rsid w:val="00371091"/>
    <w:rsid w:val="00375A10"/>
    <w:rsid w:val="00375ED8"/>
    <w:rsid w:val="00377897"/>
    <w:rsid w:val="0038028F"/>
    <w:rsid w:val="003859CE"/>
    <w:rsid w:val="00387392"/>
    <w:rsid w:val="003904A4"/>
    <w:rsid w:val="003914BC"/>
    <w:rsid w:val="00391971"/>
    <w:rsid w:val="003946C3"/>
    <w:rsid w:val="00394E56"/>
    <w:rsid w:val="00395EDF"/>
    <w:rsid w:val="00396551"/>
    <w:rsid w:val="003A0685"/>
    <w:rsid w:val="003A068B"/>
    <w:rsid w:val="003A22A8"/>
    <w:rsid w:val="003A22B9"/>
    <w:rsid w:val="003A5942"/>
    <w:rsid w:val="003A6AF7"/>
    <w:rsid w:val="003A7154"/>
    <w:rsid w:val="003A78F4"/>
    <w:rsid w:val="003B0479"/>
    <w:rsid w:val="003B176F"/>
    <w:rsid w:val="003B19CE"/>
    <w:rsid w:val="003B2DE5"/>
    <w:rsid w:val="003B34E4"/>
    <w:rsid w:val="003B6DF3"/>
    <w:rsid w:val="003C4954"/>
    <w:rsid w:val="003C6108"/>
    <w:rsid w:val="003C6D33"/>
    <w:rsid w:val="003C6ED2"/>
    <w:rsid w:val="003D07AC"/>
    <w:rsid w:val="003D13C5"/>
    <w:rsid w:val="003D1936"/>
    <w:rsid w:val="003D21FB"/>
    <w:rsid w:val="003D38D4"/>
    <w:rsid w:val="003D4F5A"/>
    <w:rsid w:val="003D5FB6"/>
    <w:rsid w:val="003D60CF"/>
    <w:rsid w:val="003E0CB2"/>
    <w:rsid w:val="003E366C"/>
    <w:rsid w:val="003E3904"/>
    <w:rsid w:val="003E5414"/>
    <w:rsid w:val="003F23C6"/>
    <w:rsid w:val="003F4E08"/>
    <w:rsid w:val="003F5A57"/>
    <w:rsid w:val="003F6389"/>
    <w:rsid w:val="004032B4"/>
    <w:rsid w:val="00407E1C"/>
    <w:rsid w:val="00413D6B"/>
    <w:rsid w:val="00414189"/>
    <w:rsid w:val="004167DF"/>
    <w:rsid w:val="004176CD"/>
    <w:rsid w:val="004226B0"/>
    <w:rsid w:val="004238D5"/>
    <w:rsid w:val="00426370"/>
    <w:rsid w:val="00427272"/>
    <w:rsid w:val="0043186F"/>
    <w:rsid w:val="00431FD1"/>
    <w:rsid w:val="00432253"/>
    <w:rsid w:val="00433DF5"/>
    <w:rsid w:val="0043584F"/>
    <w:rsid w:val="00440644"/>
    <w:rsid w:val="00441BD8"/>
    <w:rsid w:val="00441E19"/>
    <w:rsid w:val="0044216E"/>
    <w:rsid w:val="00443B8F"/>
    <w:rsid w:val="00445B50"/>
    <w:rsid w:val="004467B2"/>
    <w:rsid w:val="00446AFA"/>
    <w:rsid w:val="0045076B"/>
    <w:rsid w:val="004549B8"/>
    <w:rsid w:val="00454FB0"/>
    <w:rsid w:val="004556B3"/>
    <w:rsid w:val="00456090"/>
    <w:rsid w:val="0046012B"/>
    <w:rsid w:val="004619AC"/>
    <w:rsid w:val="004630BD"/>
    <w:rsid w:val="004648C1"/>
    <w:rsid w:val="00465576"/>
    <w:rsid w:val="00466826"/>
    <w:rsid w:val="00467514"/>
    <w:rsid w:val="00467834"/>
    <w:rsid w:val="004712BC"/>
    <w:rsid w:val="00472B21"/>
    <w:rsid w:val="00474663"/>
    <w:rsid w:val="00475C69"/>
    <w:rsid w:val="00477D39"/>
    <w:rsid w:val="00480533"/>
    <w:rsid w:val="004829EB"/>
    <w:rsid w:val="00484450"/>
    <w:rsid w:val="00492138"/>
    <w:rsid w:val="004922F7"/>
    <w:rsid w:val="00493918"/>
    <w:rsid w:val="0049488E"/>
    <w:rsid w:val="00495399"/>
    <w:rsid w:val="004961BA"/>
    <w:rsid w:val="00496797"/>
    <w:rsid w:val="00497AA6"/>
    <w:rsid w:val="004A17BD"/>
    <w:rsid w:val="004A1B5E"/>
    <w:rsid w:val="004A299C"/>
    <w:rsid w:val="004A2FAA"/>
    <w:rsid w:val="004A3C89"/>
    <w:rsid w:val="004A4878"/>
    <w:rsid w:val="004A4BE1"/>
    <w:rsid w:val="004A555E"/>
    <w:rsid w:val="004A603B"/>
    <w:rsid w:val="004A7047"/>
    <w:rsid w:val="004B0A98"/>
    <w:rsid w:val="004B1057"/>
    <w:rsid w:val="004B1972"/>
    <w:rsid w:val="004B1EAF"/>
    <w:rsid w:val="004B3D1C"/>
    <w:rsid w:val="004B3DD0"/>
    <w:rsid w:val="004B4744"/>
    <w:rsid w:val="004B51AA"/>
    <w:rsid w:val="004B5387"/>
    <w:rsid w:val="004B6247"/>
    <w:rsid w:val="004B6925"/>
    <w:rsid w:val="004C3D44"/>
    <w:rsid w:val="004C46E7"/>
    <w:rsid w:val="004C5263"/>
    <w:rsid w:val="004C67E2"/>
    <w:rsid w:val="004D0AC5"/>
    <w:rsid w:val="004D12E0"/>
    <w:rsid w:val="004D1DE3"/>
    <w:rsid w:val="004D2551"/>
    <w:rsid w:val="004D2B0A"/>
    <w:rsid w:val="004D2CE4"/>
    <w:rsid w:val="004D338C"/>
    <w:rsid w:val="004D3D0D"/>
    <w:rsid w:val="004D5BDF"/>
    <w:rsid w:val="004E1AF3"/>
    <w:rsid w:val="004E2636"/>
    <w:rsid w:val="004E4231"/>
    <w:rsid w:val="004E7623"/>
    <w:rsid w:val="004F3CDA"/>
    <w:rsid w:val="004F4021"/>
    <w:rsid w:val="004F5E4F"/>
    <w:rsid w:val="004F62E2"/>
    <w:rsid w:val="00500149"/>
    <w:rsid w:val="00502FEC"/>
    <w:rsid w:val="00503BC8"/>
    <w:rsid w:val="00504501"/>
    <w:rsid w:val="00507B1C"/>
    <w:rsid w:val="005101C6"/>
    <w:rsid w:val="005116C8"/>
    <w:rsid w:val="005139DB"/>
    <w:rsid w:val="00517689"/>
    <w:rsid w:val="005202DD"/>
    <w:rsid w:val="0052057C"/>
    <w:rsid w:val="00521096"/>
    <w:rsid w:val="0052295B"/>
    <w:rsid w:val="00522979"/>
    <w:rsid w:val="00524CCC"/>
    <w:rsid w:val="005275D5"/>
    <w:rsid w:val="00527991"/>
    <w:rsid w:val="005313FB"/>
    <w:rsid w:val="0053382D"/>
    <w:rsid w:val="0053521B"/>
    <w:rsid w:val="0053569A"/>
    <w:rsid w:val="005359BC"/>
    <w:rsid w:val="00535C8E"/>
    <w:rsid w:val="0053613D"/>
    <w:rsid w:val="005361E8"/>
    <w:rsid w:val="005371D3"/>
    <w:rsid w:val="00542D01"/>
    <w:rsid w:val="00543EAD"/>
    <w:rsid w:val="00546144"/>
    <w:rsid w:val="005468A8"/>
    <w:rsid w:val="00546907"/>
    <w:rsid w:val="00552BB3"/>
    <w:rsid w:val="00555D2A"/>
    <w:rsid w:val="00557B02"/>
    <w:rsid w:val="0056225B"/>
    <w:rsid w:val="00563271"/>
    <w:rsid w:val="00563FA7"/>
    <w:rsid w:val="00565AAD"/>
    <w:rsid w:val="005714A1"/>
    <w:rsid w:val="00573809"/>
    <w:rsid w:val="00573A23"/>
    <w:rsid w:val="00575547"/>
    <w:rsid w:val="00580E20"/>
    <w:rsid w:val="00582582"/>
    <w:rsid w:val="00584599"/>
    <w:rsid w:val="005919D0"/>
    <w:rsid w:val="00594604"/>
    <w:rsid w:val="0059614E"/>
    <w:rsid w:val="005A0D94"/>
    <w:rsid w:val="005A21D3"/>
    <w:rsid w:val="005A2F64"/>
    <w:rsid w:val="005A3205"/>
    <w:rsid w:val="005A4524"/>
    <w:rsid w:val="005A59C5"/>
    <w:rsid w:val="005A5B30"/>
    <w:rsid w:val="005B05D7"/>
    <w:rsid w:val="005B1D57"/>
    <w:rsid w:val="005B4FE2"/>
    <w:rsid w:val="005B59B0"/>
    <w:rsid w:val="005C1CAE"/>
    <w:rsid w:val="005C56C2"/>
    <w:rsid w:val="005D1213"/>
    <w:rsid w:val="005D2D0F"/>
    <w:rsid w:val="005D2DDC"/>
    <w:rsid w:val="005D31D5"/>
    <w:rsid w:val="005D494B"/>
    <w:rsid w:val="005D6B4A"/>
    <w:rsid w:val="005D73A1"/>
    <w:rsid w:val="005E08FA"/>
    <w:rsid w:val="005F18DF"/>
    <w:rsid w:val="005F27FD"/>
    <w:rsid w:val="005F452A"/>
    <w:rsid w:val="005F5C9C"/>
    <w:rsid w:val="005F619F"/>
    <w:rsid w:val="005F67E6"/>
    <w:rsid w:val="005F74D5"/>
    <w:rsid w:val="005F752A"/>
    <w:rsid w:val="00601BED"/>
    <w:rsid w:val="00603BA9"/>
    <w:rsid w:val="00604929"/>
    <w:rsid w:val="00606F89"/>
    <w:rsid w:val="00607503"/>
    <w:rsid w:val="00615C57"/>
    <w:rsid w:val="00616B3F"/>
    <w:rsid w:val="006208D6"/>
    <w:rsid w:val="00622684"/>
    <w:rsid w:val="00623ACD"/>
    <w:rsid w:val="006240F2"/>
    <w:rsid w:val="0062502E"/>
    <w:rsid w:val="0062570E"/>
    <w:rsid w:val="006269C0"/>
    <w:rsid w:val="00627A2E"/>
    <w:rsid w:val="006309BB"/>
    <w:rsid w:val="00630D92"/>
    <w:rsid w:val="0063139E"/>
    <w:rsid w:val="00632B51"/>
    <w:rsid w:val="00633976"/>
    <w:rsid w:val="006342A8"/>
    <w:rsid w:val="0063449E"/>
    <w:rsid w:val="00634BB4"/>
    <w:rsid w:val="0065637B"/>
    <w:rsid w:val="00657E51"/>
    <w:rsid w:val="00660989"/>
    <w:rsid w:val="006612E8"/>
    <w:rsid w:val="006633BE"/>
    <w:rsid w:val="00664BF4"/>
    <w:rsid w:val="006658B0"/>
    <w:rsid w:val="00665EFD"/>
    <w:rsid w:val="00666B7E"/>
    <w:rsid w:val="0066767C"/>
    <w:rsid w:val="00667F17"/>
    <w:rsid w:val="006700C9"/>
    <w:rsid w:val="006707C1"/>
    <w:rsid w:val="006708CA"/>
    <w:rsid w:val="006713EE"/>
    <w:rsid w:val="00671F29"/>
    <w:rsid w:val="006721BE"/>
    <w:rsid w:val="0067351B"/>
    <w:rsid w:val="006747FA"/>
    <w:rsid w:val="00675F90"/>
    <w:rsid w:val="00676149"/>
    <w:rsid w:val="006801D3"/>
    <w:rsid w:val="00681338"/>
    <w:rsid w:val="00681DA2"/>
    <w:rsid w:val="0068214B"/>
    <w:rsid w:val="00683B45"/>
    <w:rsid w:val="00685062"/>
    <w:rsid w:val="00691831"/>
    <w:rsid w:val="006920A3"/>
    <w:rsid w:val="006923E9"/>
    <w:rsid w:val="00692543"/>
    <w:rsid w:val="006926F6"/>
    <w:rsid w:val="00694B9F"/>
    <w:rsid w:val="006954DE"/>
    <w:rsid w:val="0069554F"/>
    <w:rsid w:val="00695FC9"/>
    <w:rsid w:val="006963BB"/>
    <w:rsid w:val="0069689B"/>
    <w:rsid w:val="00696B91"/>
    <w:rsid w:val="00697048"/>
    <w:rsid w:val="00697F1F"/>
    <w:rsid w:val="006A0AFC"/>
    <w:rsid w:val="006A33C8"/>
    <w:rsid w:val="006A5FA6"/>
    <w:rsid w:val="006A6023"/>
    <w:rsid w:val="006B3BB1"/>
    <w:rsid w:val="006B4174"/>
    <w:rsid w:val="006B47F0"/>
    <w:rsid w:val="006B5C9C"/>
    <w:rsid w:val="006B61B7"/>
    <w:rsid w:val="006B748A"/>
    <w:rsid w:val="006C0F29"/>
    <w:rsid w:val="006C376F"/>
    <w:rsid w:val="006C3A02"/>
    <w:rsid w:val="006C4188"/>
    <w:rsid w:val="006C430B"/>
    <w:rsid w:val="006C46A4"/>
    <w:rsid w:val="006C4791"/>
    <w:rsid w:val="006C734D"/>
    <w:rsid w:val="006D4814"/>
    <w:rsid w:val="006D761D"/>
    <w:rsid w:val="006E09B4"/>
    <w:rsid w:val="006E637E"/>
    <w:rsid w:val="006E7251"/>
    <w:rsid w:val="006E76BF"/>
    <w:rsid w:val="006E7742"/>
    <w:rsid w:val="006E7E12"/>
    <w:rsid w:val="006F41BE"/>
    <w:rsid w:val="006F4F92"/>
    <w:rsid w:val="006F5E17"/>
    <w:rsid w:val="00704436"/>
    <w:rsid w:val="0070615F"/>
    <w:rsid w:val="00706B74"/>
    <w:rsid w:val="00706D0D"/>
    <w:rsid w:val="00707E3A"/>
    <w:rsid w:val="007104E4"/>
    <w:rsid w:val="00710C54"/>
    <w:rsid w:val="007116FF"/>
    <w:rsid w:val="00712B3F"/>
    <w:rsid w:val="00713811"/>
    <w:rsid w:val="007147BF"/>
    <w:rsid w:val="00715572"/>
    <w:rsid w:val="00716F3A"/>
    <w:rsid w:val="00722A7D"/>
    <w:rsid w:val="00723ACF"/>
    <w:rsid w:val="0072582F"/>
    <w:rsid w:val="007268BA"/>
    <w:rsid w:val="00726C29"/>
    <w:rsid w:val="00727BCA"/>
    <w:rsid w:val="00731052"/>
    <w:rsid w:val="0073193D"/>
    <w:rsid w:val="007342FD"/>
    <w:rsid w:val="00734EB9"/>
    <w:rsid w:val="00734F85"/>
    <w:rsid w:val="00735E68"/>
    <w:rsid w:val="00737429"/>
    <w:rsid w:val="0073760A"/>
    <w:rsid w:val="00737F76"/>
    <w:rsid w:val="00744A1E"/>
    <w:rsid w:val="00744E3B"/>
    <w:rsid w:val="007462FF"/>
    <w:rsid w:val="00747BDC"/>
    <w:rsid w:val="00747F7C"/>
    <w:rsid w:val="00750F24"/>
    <w:rsid w:val="00752472"/>
    <w:rsid w:val="0075336A"/>
    <w:rsid w:val="0075341A"/>
    <w:rsid w:val="007562EF"/>
    <w:rsid w:val="007573DA"/>
    <w:rsid w:val="00762D96"/>
    <w:rsid w:val="0076429C"/>
    <w:rsid w:val="00764BBB"/>
    <w:rsid w:val="00766165"/>
    <w:rsid w:val="00766AA6"/>
    <w:rsid w:val="0077058F"/>
    <w:rsid w:val="00771CEF"/>
    <w:rsid w:val="00772970"/>
    <w:rsid w:val="00772CEF"/>
    <w:rsid w:val="007755A0"/>
    <w:rsid w:val="00777E6E"/>
    <w:rsid w:val="007825A8"/>
    <w:rsid w:val="0078335D"/>
    <w:rsid w:val="00783B93"/>
    <w:rsid w:val="00783ED7"/>
    <w:rsid w:val="00784B64"/>
    <w:rsid w:val="00785965"/>
    <w:rsid w:val="007868BA"/>
    <w:rsid w:val="00790A14"/>
    <w:rsid w:val="00790EDF"/>
    <w:rsid w:val="007912B8"/>
    <w:rsid w:val="007912DD"/>
    <w:rsid w:val="00791B2E"/>
    <w:rsid w:val="00795D8F"/>
    <w:rsid w:val="007A02BA"/>
    <w:rsid w:val="007A54AA"/>
    <w:rsid w:val="007A74D4"/>
    <w:rsid w:val="007A79FE"/>
    <w:rsid w:val="007B0F0E"/>
    <w:rsid w:val="007B0F95"/>
    <w:rsid w:val="007B1DBF"/>
    <w:rsid w:val="007B1F50"/>
    <w:rsid w:val="007C1641"/>
    <w:rsid w:val="007C3F4C"/>
    <w:rsid w:val="007C4DEF"/>
    <w:rsid w:val="007C4E03"/>
    <w:rsid w:val="007C52BA"/>
    <w:rsid w:val="007C6023"/>
    <w:rsid w:val="007C648A"/>
    <w:rsid w:val="007C7E41"/>
    <w:rsid w:val="007D3722"/>
    <w:rsid w:val="007D4C76"/>
    <w:rsid w:val="007D771C"/>
    <w:rsid w:val="007E03B6"/>
    <w:rsid w:val="007E0F9B"/>
    <w:rsid w:val="007E554A"/>
    <w:rsid w:val="007E71B5"/>
    <w:rsid w:val="007E7D8F"/>
    <w:rsid w:val="007F1F14"/>
    <w:rsid w:val="007F3FD5"/>
    <w:rsid w:val="007F439F"/>
    <w:rsid w:val="007F4890"/>
    <w:rsid w:val="007F5040"/>
    <w:rsid w:val="00800AE1"/>
    <w:rsid w:val="008011B1"/>
    <w:rsid w:val="00802AA9"/>
    <w:rsid w:val="00804176"/>
    <w:rsid w:val="008043BC"/>
    <w:rsid w:val="00811A31"/>
    <w:rsid w:val="00813ED8"/>
    <w:rsid w:val="008166D7"/>
    <w:rsid w:val="00817B20"/>
    <w:rsid w:val="008212B7"/>
    <w:rsid w:val="008216CC"/>
    <w:rsid w:val="00822594"/>
    <w:rsid w:val="00827BCC"/>
    <w:rsid w:val="00827FC7"/>
    <w:rsid w:val="0083146E"/>
    <w:rsid w:val="0083148E"/>
    <w:rsid w:val="00831FA2"/>
    <w:rsid w:val="008342CD"/>
    <w:rsid w:val="00835D3C"/>
    <w:rsid w:val="00837397"/>
    <w:rsid w:val="00840220"/>
    <w:rsid w:val="00840789"/>
    <w:rsid w:val="00841814"/>
    <w:rsid w:val="0084365F"/>
    <w:rsid w:val="0084370D"/>
    <w:rsid w:val="00844ECD"/>
    <w:rsid w:val="0084677D"/>
    <w:rsid w:val="00850C16"/>
    <w:rsid w:val="008525A7"/>
    <w:rsid w:val="008533A8"/>
    <w:rsid w:val="00855AB1"/>
    <w:rsid w:val="00855B99"/>
    <w:rsid w:val="00855F0D"/>
    <w:rsid w:val="00862DCC"/>
    <w:rsid w:val="0086480F"/>
    <w:rsid w:val="00866343"/>
    <w:rsid w:val="008707E9"/>
    <w:rsid w:val="00870B31"/>
    <w:rsid w:val="00874DD8"/>
    <w:rsid w:val="00876578"/>
    <w:rsid w:val="0087700D"/>
    <w:rsid w:val="00880A37"/>
    <w:rsid w:val="00882631"/>
    <w:rsid w:val="0088350D"/>
    <w:rsid w:val="0088454C"/>
    <w:rsid w:val="00886A2A"/>
    <w:rsid w:val="00890A54"/>
    <w:rsid w:val="00890F21"/>
    <w:rsid w:val="00896A45"/>
    <w:rsid w:val="008A014C"/>
    <w:rsid w:val="008A1637"/>
    <w:rsid w:val="008A4954"/>
    <w:rsid w:val="008A506F"/>
    <w:rsid w:val="008A71AC"/>
    <w:rsid w:val="008B0057"/>
    <w:rsid w:val="008B3538"/>
    <w:rsid w:val="008B40D1"/>
    <w:rsid w:val="008B49E5"/>
    <w:rsid w:val="008B6924"/>
    <w:rsid w:val="008C1B38"/>
    <w:rsid w:val="008C1C0C"/>
    <w:rsid w:val="008C3AA0"/>
    <w:rsid w:val="008C490C"/>
    <w:rsid w:val="008D0640"/>
    <w:rsid w:val="008D0B12"/>
    <w:rsid w:val="008D0C2A"/>
    <w:rsid w:val="008D1DDC"/>
    <w:rsid w:val="008D2E20"/>
    <w:rsid w:val="008D43E3"/>
    <w:rsid w:val="008D693F"/>
    <w:rsid w:val="008D7F4C"/>
    <w:rsid w:val="008E3444"/>
    <w:rsid w:val="008E5233"/>
    <w:rsid w:val="008E60A4"/>
    <w:rsid w:val="008E74B9"/>
    <w:rsid w:val="008E7AA3"/>
    <w:rsid w:val="008F0AE8"/>
    <w:rsid w:val="008F1685"/>
    <w:rsid w:val="008F3F39"/>
    <w:rsid w:val="008F5F74"/>
    <w:rsid w:val="008F74D0"/>
    <w:rsid w:val="008F7620"/>
    <w:rsid w:val="00900333"/>
    <w:rsid w:val="00901061"/>
    <w:rsid w:val="00901FDB"/>
    <w:rsid w:val="0090278C"/>
    <w:rsid w:val="009035C7"/>
    <w:rsid w:val="00903985"/>
    <w:rsid w:val="0090531A"/>
    <w:rsid w:val="0090661A"/>
    <w:rsid w:val="00906E92"/>
    <w:rsid w:val="00907086"/>
    <w:rsid w:val="009072B0"/>
    <w:rsid w:val="009074B7"/>
    <w:rsid w:val="00907DA2"/>
    <w:rsid w:val="00910DA6"/>
    <w:rsid w:val="00910EA0"/>
    <w:rsid w:val="009114D6"/>
    <w:rsid w:val="0091275D"/>
    <w:rsid w:val="00912CFD"/>
    <w:rsid w:val="009144CA"/>
    <w:rsid w:val="009216A8"/>
    <w:rsid w:val="009222DF"/>
    <w:rsid w:val="009229F9"/>
    <w:rsid w:val="00924333"/>
    <w:rsid w:val="009245B0"/>
    <w:rsid w:val="00927703"/>
    <w:rsid w:val="009308FD"/>
    <w:rsid w:val="00930EB9"/>
    <w:rsid w:val="00931E77"/>
    <w:rsid w:val="0093584B"/>
    <w:rsid w:val="0093683C"/>
    <w:rsid w:val="009369BD"/>
    <w:rsid w:val="00936FC3"/>
    <w:rsid w:val="00941591"/>
    <w:rsid w:val="00943A40"/>
    <w:rsid w:val="00943F78"/>
    <w:rsid w:val="0094737A"/>
    <w:rsid w:val="00953954"/>
    <w:rsid w:val="00955BED"/>
    <w:rsid w:val="00955D25"/>
    <w:rsid w:val="00956C79"/>
    <w:rsid w:val="00957173"/>
    <w:rsid w:val="009574F9"/>
    <w:rsid w:val="00957785"/>
    <w:rsid w:val="00962EE8"/>
    <w:rsid w:val="00963020"/>
    <w:rsid w:val="0096376B"/>
    <w:rsid w:val="009655B1"/>
    <w:rsid w:val="00966D6A"/>
    <w:rsid w:val="00967525"/>
    <w:rsid w:val="0096758F"/>
    <w:rsid w:val="00973C53"/>
    <w:rsid w:val="009741A2"/>
    <w:rsid w:val="00975BF0"/>
    <w:rsid w:val="009768C0"/>
    <w:rsid w:val="00981FD7"/>
    <w:rsid w:val="00982C7F"/>
    <w:rsid w:val="0098557D"/>
    <w:rsid w:val="00986A62"/>
    <w:rsid w:val="00986AA4"/>
    <w:rsid w:val="0099009F"/>
    <w:rsid w:val="0099011D"/>
    <w:rsid w:val="0099139A"/>
    <w:rsid w:val="00993571"/>
    <w:rsid w:val="00993AD5"/>
    <w:rsid w:val="00993B1E"/>
    <w:rsid w:val="00995819"/>
    <w:rsid w:val="009960E7"/>
    <w:rsid w:val="0099752F"/>
    <w:rsid w:val="009A6C52"/>
    <w:rsid w:val="009A7A1A"/>
    <w:rsid w:val="009A7D3C"/>
    <w:rsid w:val="009A7E29"/>
    <w:rsid w:val="009B1DE3"/>
    <w:rsid w:val="009B1F28"/>
    <w:rsid w:val="009B3ECE"/>
    <w:rsid w:val="009B4B1F"/>
    <w:rsid w:val="009B56E2"/>
    <w:rsid w:val="009B7B63"/>
    <w:rsid w:val="009C1662"/>
    <w:rsid w:val="009C45DB"/>
    <w:rsid w:val="009C591A"/>
    <w:rsid w:val="009C6E69"/>
    <w:rsid w:val="009C796D"/>
    <w:rsid w:val="009D23DE"/>
    <w:rsid w:val="009D3FBF"/>
    <w:rsid w:val="009D58D0"/>
    <w:rsid w:val="009D7361"/>
    <w:rsid w:val="009D73F1"/>
    <w:rsid w:val="009D7727"/>
    <w:rsid w:val="009E1185"/>
    <w:rsid w:val="009E1548"/>
    <w:rsid w:val="009E2563"/>
    <w:rsid w:val="009E6CC2"/>
    <w:rsid w:val="009E6E1C"/>
    <w:rsid w:val="009F1159"/>
    <w:rsid w:val="009F157A"/>
    <w:rsid w:val="009F282D"/>
    <w:rsid w:val="009F50A4"/>
    <w:rsid w:val="009F58BD"/>
    <w:rsid w:val="009F6B8E"/>
    <w:rsid w:val="009F71AD"/>
    <w:rsid w:val="00A003EB"/>
    <w:rsid w:val="00A008A2"/>
    <w:rsid w:val="00A0095F"/>
    <w:rsid w:val="00A0160B"/>
    <w:rsid w:val="00A0256C"/>
    <w:rsid w:val="00A03D03"/>
    <w:rsid w:val="00A05E41"/>
    <w:rsid w:val="00A108D9"/>
    <w:rsid w:val="00A114C7"/>
    <w:rsid w:val="00A11620"/>
    <w:rsid w:val="00A125F6"/>
    <w:rsid w:val="00A16CEE"/>
    <w:rsid w:val="00A175B4"/>
    <w:rsid w:val="00A22097"/>
    <w:rsid w:val="00A22258"/>
    <w:rsid w:val="00A223C1"/>
    <w:rsid w:val="00A25328"/>
    <w:rsid w:val="00A268CF"/>
    <w:rsid w:val="00A31408"/>
    <w:rsid w:val="00A31862"/>
    <w:rsid w:val="00A33E7F"/>
    <w:rsid w:val="00A34922"/>
    <w:rsid w:val="00A3525F"/>
    <w:rsid w:val="00A40EAE"/>
    <w:rsid w:val="00A40EEF"/>
    <w:rsid w:val="00A40FD0"/>
    <w:rsid w:val="00A42CE2"/>
    <w:rsid w:val="00A445A0"/>
    <w:rsid w:val="00A44B26"/>
    <w:rsid w:val="00A454BE"/>
    <w:rsid w:val="00A469D0"/>
    <w:rsid w:val="00A46C3C"/>
    <w:rsid w:val="00A612D4"/>
    <w:rsid w:val="00A63708"/>
    <w:rsid w:val="00A731CD"/>
    <w:rsid w:val="00A75A28"/>
    <w:rsid w:val="00A768B4"/>
    <w:rsid w:val="00A80483"/>
    <w:rsid w:val="00A80EAD"/>
    <w:rsid w:val="00A8106A"/>
    <w:rsid w:val="00A8202C"/>
    <w:rsid w:val="00A829C0"/>
    <w:rsid w:val="00A8471D"/>
    <w:rsid w:val="00A8642E"/>
    <w:rsid w:val="00A87A5E"/>
    <w:rsid w:val="00A912E5"/>
    <w:rsid w:val="00A91FFB"/>
    <w:rsid w:val="00A948EE"/>
    <w:rsid w:val="00A96667"/>
    <w:rsid w:val="00A96DFB"/>
    <w:rsid w:val="00A97BDF"/>
    <w:rsid w:val="00A97E65"/>
    <w:rsid w:val="00AA0C49"/>
    <w:rsid w:val="00AA1F89"/>
    <w:rsid w:val="00AA2F4C"/>
    <w:rsid w:val="00AA3C5C"/>
    <w:rsid w:val="00AA6044"/>
    <w:rsid w:val="00AB0002"/>
    <w:rsid w:val="00AB1743"/>
    <w:rsid w:val="00AB419F"/>
    <w:rsid w:val="00AB5403"/>
    <w:rsid w:val="00AC0CB0"/>
    <w:rsid w:val="00AC1E76"/>
    <w:rsid w:val="00AC2487"/>
    <w:rsid w:val="00AC2F75"/>
    <w:rsid w:val="00AC329E"/>
    <w:rsid w:val="00AC612D"/>
    <w:rsid w:val="00AC65DF"/>
    <w:rsid w:val="00AC68BF"/>
    <w:rsid w:val="00AC7322"/>
    <w:rsid w:val="00AD01EA"/>
    <w:rsid w:val="00AD055E"/>
    <w:rsid w:val="00AD0D71"/>
    <w:rsid w:val="00AD4F17"/>
    <w:rsid w:val="00AD5AE8"/>
    <w:rsid w:val="00AD5FA7"/>
    <w:rsid w:val="00AD6521"/>
    <w:rsid w:val="00AD69E0"/>
    <w:rsid w:val="00AE08D6"/>
    <w:rsid w:val="00AE3618"/>
    <w:rsid w:val="00AE56D5"/>
    <w:rsid w:val="00AE5A09"/>
    <w:rsid w:val="00AF1FB3"/>
    <w:rsid w:val="00AF359A"/>
    <w:rsid w:val="00AF6313"/>
    <w:rsid w:val="00B023B6"/>
    <w:rsid w:val="00B02970"/>
    <w:rsid w:val="00B02CF5"/>
    <w:rsid w:val="00B048E4"/>
    <w:rsid w:val="00B06440"/>
    <w:rsid w:val="00B06C71"/>
    <w:rsid w:val="00B071F2"/>
    <w:rsid w:val="00B07AC3"/>
    <w:rsid w:val="00B1075C"/>
    <w:rsid w:val="00B13EBA"/>
    <w:rsid w:val="00B13ECC"/>
    <w:rsid w:val="00B1454A"/>
    <w:rsid w:val="00B14B45"/>
    <w:rsid w:val="00B17A2D"/>
    <w:rsid w:val="00B22834"/>
    <w:rsid w:val="00B25699"/>
    <w:rsid w:val="00B27A3D"/>
    <w:rsid w:val="00B30290"/>
    <w:rsid w:val="00B309A9"/>
    <w:rsid w:val="00B32184"/>
    <w:rsid w:val="00B36911"/>
    <w:rsid w:val="00B37731"/>
    <w:rsid w:val="00B419AC"/>
    <w:rsid w:val="00B43374"/>
    <w:rsid w:val="00B4391F"/>
    <w:rsid w:val="00B43C25"/>
    <w:rsid w:val="00B440F2"/>
    <w:rsid w:val="00B44810"/>
    <w:rsid w:val="00B453F8"/>
    <w:rsid w:val="00B459B0"/>
    <w:rsid w:val="00B5053E"/>
    <w:rsid w:val="00B50ECB"/>
    <w:rsid w:val="00B53076"/>
    <w:rsid w:val="00B5592A"/>
    <w:rsid w:val="00B603CA"/>
    <w:rsid w:val="00B60DE5"/>
    <w:rsid w:val="00B60F3F"/>
    <w:rsid w:val="00B615B8"/>
    <w:rsid w:val="00B63D96"/>
    <w:rsid w:val="00B64CD1"/>
    <w:rsid w:val="00B66344"/>
    <w:rsid w:val="00B70293"/>
    <w:rsid w:val="00B712BA"/>
    <w:rsid w:val="00B72965"/>
    <w:rsid w:val="00B72D8B"/>
    <w:rsid w:val="00B73941"/>
    <w:rsid w:val="00B74DD2"/>
    <w:rsid w:val="00B76D64"/>
    <w:rsid w:val="00B77B65"/>
    <w:rsid w:val="00B81C64"/>
    <w:rsid w:val="00B83B79"/>
    <w:rsid w:val="00B868C5"/>
    <w:rsid w:val="00B86DB6"/>
    <w:rsid w:val="00B874BE"/>
    <w:rsid w:val="00B87C4A"/>
    <w:rsid w:val="00B91816"/>
    <w:rsid w:val="00B9259A"/>
    <w:rsid w:val="00B92B66"/>
    <w:rsid w:val="00B947AF"/>
    <w:rsid w:val="00B9553F"/>
    <w:rsid w:val="00B957D6"/>
    <w:rsid w:val="00B971E8"/>
    <w:rsid w:val="00B97585"/>
    <w:rsid w:val="00BA4A67"/>
    <w:rsid w:val="00BA5A9A"/>
    <w:rsid w:val="00BB09B4"/>
    <w:rsid w:val="00BB4ABD"/>
    <w:rsid w:val="00BB5589"/>
    <w:rsid w:val="00BB55E5"/>
    <w:rsid w:val="00BB6299"/>
    <w:rsid w:val="00BC032A"/>
    <w:rsid w:val="00BC1078"/>
    <w:rsid w:val="00BC56A4"/>
    <w:rsid w:val="00BC5CF2"/>
    <w:rsid w:val="00BC5EDB"/>
    <w:rsid w:val="00BC64B1"/>
    <w:rsid w:val="00BC7665"/>
    <w:rsid w:val="00BC7836"/>
    <w:rsid w:val="00BD0D0D"/>
    <w:rsid w:val="00BD0F66"/>
    <w:rsid w:val="00BD13A9"/>
    <w:rsid w:val="00BD23C7"/>
    <w:rsid w:val="00BD350B"/>
    <w:rsid w:val="00BD51BA"/>
    <w:rsid w:val="00BD5CAD"/>
    <w:rsid w:val="00BD6282"/>
    <w:rsid w:val="00BE1A20"/>
    <w:rsid w:val="00BE7916"/>
    <w:rsid w:val="00BF024D"/>
    <w:rsid w:val="00BF0FB6"/>
    <w:rsid w:val="00BF1E26"/>
    <w:rsid w:val="00BF2495"/>
    <w:rsid w:val="00BF2515"/>
    <w:rsid w:val="00BF6423"/>
    <w:rsid w:val="00BF70ED"/>
    <w:rsid w:val="00C01A2C"/>
    <w:rsid w:val="00C0367D"/>
    <w:rsid w:val="00C04610"/>
    <w:rsid w:val="00C05386"/>
    <w:rsid w:val="00C05A05"/>
    <w:rsid w:val="00C11BAD"/>
    <w:rsid w:val="00C12DA0"/>
    <w:rsid w:val="00C142C3"/>
    <w:rsid w:val="00C1463E"/>
    <w:rsid w:val="00C16428"/>
    <w:rsid w:val="00C16B37"/>
    <w:rsid w:val="00C20A8D"/>
    <w:rsid w:val="00C245C3"/>
    <w:rsid w:val="00C2491B"/>
    <w:rsid w:val="00C24BC8"/>
    <w:rsid w:val="00C26DC8"/>
    <w:rsid w:val="00C270B1"/>
    <w:rsid w:val="00C3050B"/>
    <w:rsid w:val="00C32E6E"/>
    <w:rsid w:val="00C32F23"/>
    <w:rsid w:val="00C35609"/>
    <w:rsid w:val="00C3771E"/>
    <w:rsid w:val="00C378B2"/>
    <w:rsid w:val="00C37C0D"/>
    <w:rsid w:val="00C414BB"/>
    <w:rsid w:val="00C42BED"/>
    <w:rsid w:val="00C4522D"/>
    <w:rsid w:val="00C526F1"/>
    <w:rsid w:val="00C527D4"/>
    <w:rsid w:val="00C52E56"/>
    <w:rsid w:val="00C558DE"/>
    <w:rsid w:val="00C55A3D"/>
    <w:rsid w:val="00C55D62"/>
    <w:rsid w:val="00C60259"/>
    <w:rsid w:val="00C63A75"/>
    <w:rsid w:val="00C647EE"/>
    <w:rsid w:val="00C66B24"/>
    <w:rsid w:val="00C67555"/>
    <w:rsid w:val="00C67E5F"/>
    <w:rsid w:val="00C71F00"/>
    <w:rsid w:val="00C73250"/>
    <w:rsid w:val="00C75CF7"/>
    <w:rsid w:val="00C77F3B"/>
    <w:rsid w:val="00C82D9C"/>
    <w:rsid w:val="00C84983"/>
    <w:rsid w:val="00C87334"/>
    <w:rsid w:val="00C90637"/>
    <w:rsid w:val="00C908C9"/>
    <w:rsid w:val="00C93BD8"/>
    <w:rsid w:val="00C951F7"/>
    <w:rsid w:val="00C95835"/>
    <w:rsid w:val="00C95B5C"/>
    <w:rsid w:val="00C96716"/>
    <w:rsid w:val="00C9770E"/>
    <w:rsid w:val="00C97D14"/>
    <w:rsid w:val="00CA7269"/>
    <w:rsid w:val="00CA736F"/>
    <w:rsid w:val="00CB1D38"/>
    <w:rsid w:val="00CB1DBD"/>
    <w:rsid w:val="00CB5745"/>
    <w:rsid w:val="00CB68B3"/>
    <w:rsid w:val="00CB7F14"/>
    <w:rsid w:val="00CB7FBA"/>
    <w:rsid w:val="00CC09E7"/>
    <w:rsid w:val="00CC4AD0"/>
    <w:rsid w:val="00CC61B5"/>
    <w:rsid w:val="00CC7026"/>
    <w:rsid w:val="00CD5A27"/>
    <w:rsid w:val="00CD67CC"/>
    <w:rsid w:val="00CD7724"/>
    <w:rsid w:val="00CD77BA"/>
    <w:rsid w:val="00CE38BD"/>
    <w:rsid w:val="00CE3B45"/>
    <w:rsid w:val="00CE3C0F"/>
    <w:rsid w:val="00CF35E1"/>
    <w:rsid w:val="00CF36C7"/>
    <w:rsid w:val="00CF38B9"/>
    <w:rsid w:val="00CF3E13"/>
    <w:rsid w:val="00CF4F36"/>
    <w:rsid w:val="00CF6CD2"/>
    <w:rsid w:val="00D03E5F"/>
    <w:rsid w:val="00D03F66"/>
    <w:rsid w:val="00D0518F"/>
    <w:rsid w:val="00D07A62"/>
    <w:rsid w:val="00D10124"/>
    <w:rsid w:val="00D1063F"/>
    <w:rsid w:val="00D1072F"/>
    <w:rsid w:val="00D116D0"/>
    <w:rsid w:val="00D122A4"/>
    <w:rsid w:val="00D12576"/>
    <w:rsid w:val="00D12C03"/>
    <w:rsid w:val="00D13AD6"/>
    <w:rsid w:val="00D160AD"/>
    <w:rsid w:val="00D16870"/>
    <w:rsid w:val="00D2080D"/>
    <w:rsid w:val="00D20A8D"/>
    <w:rsid w:val="00D2184F"/>
    <w:rsid w:val="00D22D2F"/>
    <w:rsid w:val="00D25295"/>
    <w:rsid w:val="00D2558A"/>
    <w:rsid w:val="00D265A3"/>
    <w:rsid w:val="00D26A6D"/>
    <w:rsid w:val="00D26BF2"/>
    <w:rsid w:val="00D26CF1"/>
    <w:rsid w:val="00D276CD"/>
    <w:rsid w:val="00D30A8F"/>
    <w:rsid w:val="00D32C2E"/>
    <w:rsid w:val="00D4256F"/>
    <w:rsid w:val="00D42882"/>
    <w:rsid w:val="00D42DC0"/>
    <w:rsid w:val="00D432CC"/>
    <w:rsid w:val="00D43816"/>
    <w:rsid w:val="00D45A58"/>
    <w:rsid w:val="00D46A83"/>
    <w:rsid w:val="00D47AFF"/>
    <w:rsid w:val="00D5097F"/>
    <w:rsid w:val="00D50FAC"/>
    <w:rsid w:val="00D522A4"/>
    <w:rsid w:val="00D53432"/>
    <w:rsid w:val="00D5393F"/>
    <w:rsid w:val="00D54E1D"/>
    <w:rsid w:val="00D54F28"/>
    <w:rsid w:val="00D566E8"/>
    <w:rsid w:val="00D57BA8"/>
    <w:rsid w:val="00D60516"/>
    <w:rsid w:val="00D61871"/>
    <w:rsid w:val="00D62F84"/>
    <w:rsid w:val="00D63D03"/>
    <w:rsid w:val="00D65DBF"/>
    <w:rsid w:val="00D737DA"/>
    <w:rsid w:val="00D77B28"/>
    <w:rsid w:val="00D82554"/>
    <w:rsid w:val="00D852A8"/>
    <w:rsid w:val="00D85483"/>
    <w:rsid w:val="00D85664"/>
    <w:rsid w:val="00D8645C"/>
    <w:rsid w:val="00D87CE1"/>
    <w:rsid w:val="00D906CA"/>
    <w:rsid w:val="00D92D85"/>
    <w:rsid w:val="00D94DF8"/>
    <w:rsid w:val="00D95056"/>
    <w:rsid w:val="00D96635"/>
    <w:rsid w:val="00DA1163"/>
    <w:rsid w:val="00DA2D28"/>
    <w:rsid w:val="00DA5699"/>
    <w:rsid w:val="00DA5D54"/>
    <w:rsid w:val="00DA73F8"/>
    <w:rsid w:val="00DB121F"/>
    <w:rsid w:val="00DB2587"/>
    <w:rsid w:val="00DB398D"/>
    <w:rsid w:val="00DB4667"/>
    <w:rsid w:val="00DB51C0"/>
    <w:rsid w:val="00DB5F75"/>
    <w:rsid w:val="00DB6348"/>
    <w:rsid w:val="00DC042C"/>
    <w:rsid w:val="00DC0B04"/>
    <w:rsid w:val="00DC14F3"/>
    <w:rsid w:val="00DC1B61"/>
    <w:rsid w:val="00DC5464"/>
    <w:rsid w:val="00DC5FB1"/>
    <w:rsid w:val="00DD185F"/>
    <w:rsid w:val="00DD5056"/>
    <w:rsid w:val="00DD5A3C"/>
    <w:rsid w:val="00DE5722"/>
    <w:rsid w:val="00DE6435"/>
    <w:rsid w:val="00DE6CAE"/>
    <w:rsid w:val="00DF1AB7"/>
    <w:rsid w:val="00DF1EDD"/>
    <w:rsid w:val="00DF1F85"/>
    <w:rsid w:val="00DF2806"/>
    <w:rsid w:val="00DF2FA6"/>
    <w:rsid w:val="00DF3FD9"/>
    <w:rsid w:val="00DF5D17"/>
    <w:rsid w:val="00DF5E82"/>
    <w:rsid w:val="00DF676C"/>
    <w:rsid w:val="00DF7F55"/>
    <w:rsid w:val="00E011A6"/>
    <w:rsid w:val="00E054A3"/>
    <w:rsid w:val="00E07E4E"/>
    <w:rsid w:val="00E1095A"/>
    <w:rsid w:val="00E1106B"/>
    <w:rsid w:val="00E13C14"/>
    <w:rsid w:val="00E141A6"/>
    <w:rsid w:val="00E146C3"/>
    <w:rsid w:val="00E160B2"/>
    <w:rsid w:val="00E16142"/>
    <w:rsid w:val="00E16782"/>
    <w:rsid w:val="00E178A1"/>
    <w:rsid w:val="00E2149A"/>
    <w:rsid w:val="00E22DD7"/>
    <w:rsid w:val="00E23633"/>
    <w:rsid w:val="00E243C2"/>
    <w:rsid w:val="00E24877"/>
    <w:rsid w:val="00E24C57"/>
    <w:rsid w:val="00E24E91"/>
    <w:rsid w:val="00E26EEA"/>
    <w:rsid w:val="00E34FAF"/>
    <w:rsid w:val="00E421EE"/>
    <w:rsid w:val="00E4230B"/>
    <w:rsid w:val="00E43288"/>
    <w:rsid w:val="00E445BD"/>
    <w:rsid w:val="00E46AB2"/>
    <w:rsid w:val="00E50830"/>
    <w:rsid w:val="00E51A18"/>
    <w:rsid w:val="00E526F9"/>
    <w:rsid w:val="00E53F45"/>
    <w:rsid w:val="00E55525"/>
    <w:rsid w:val="00E560EA"/>
    <w:rsid w:val="00E56AEC"/>
    <w:rsid w:val="00E57159"/>
    <w:rsid w:val="00E5791D"/>
    <w:rsid w:val="00E57B26"/>
    <w:rsid w:val="00E60F68"/>
    <w:rsid w:val="00E62D1D"/>
    <w:rsid w:val="00E64656"/>
    <w:rsid w:val="00E70BD8"/>
    <w:rsid w:val="00E72C7D"/>
    <w:rsid w:val="00E74284"/>
    <w:rsid w:val="00E7544F"/>
    <w:rsid w:val="00E813CF"/>
    <w:rsid w:val="00E816CB"/>
    <w:rsid w:val="00E82D31"/>
    <w:rsid w:val="00E8618F"/>
    <w:rsid w:val="00E861C7"/>
    <w:rsid w:val="00E863BD"/>
    <w:rsid w:val="00E87082"/>
    <w:rsid w:val="00E93E01"/>
    <w:rsid w:val="00EA0513"/>
    <w:rsid w:val="00EA0CC5"/>
    <w:rsid w:val="00EA36A1"/>
    <w:rsid w:val="00EA5DD8"/>
    <w:rsid w:val="00EA6A3F"/>
    <w:rsid w:val="00EA7D0E"/>
    <w:rsid w:val="00EB07D6"/>
    <w:rsid w:val="00EB0C1C"/>
    <w:rsid w:val="00EB0C56"/>
    <w:rsid w:val="00EB1309"/>
    <w:rsid w:val="00EB1A28"/>
    <w:rsid w:val="00EB3515"/>
    <w:rsid w:val="00EB6392"/>
    <w:rsid w:val="00EB7E15"/>
    <w:rsid w:val="00EC07F6"/>
    <w:rsid w:val="00EC351D"/>
    <w:rsid w:val="00EC54D6"/>
    <w:rsid w:val="00ED0303"/>
    <w:rsid w:val="00ED18DA"/>
    <w:rsid w:val="00ED2BAA"/>
    <w:rsid w:val="00ED34BB"/>
    <w:rsid w:val="00ED3EB3"/>
    <w:rsid w:val="00ED565A"/>
    <w:rsid w:val="00ED7181"/>
    <w:rsid w:val="00EE2937"/>
    <w:rsid w:val="00EE2B45"/>
    <w:rsid w:val="00EE494A"/>
    <w:rsid w:val="00EE6A73"/>
    <w:rsid w:val="00EE7205"/>
    <w:rsid w:val="00EF0AC1"/>
    <w:rsid w:val="00EF3C8D"/>
    <w:rsid w:val="00F01E49"/>
    <w:rsid w:val="00F033CB"/>
    <w:rsid w:val="00F054CE"/>
    <w:rsid w:val="00F1420A"/>
    <w:rsid w:val="00F15B9A"/>
    <w:rsid w:val="00F16353"/>
    <w:rsid w:val="00F17769"/>
    <w:rsid w:val="00F17BB2"/>
    <w:rsid w:val="00F17F73"/>
    <w:rsid w:val="00F17FEB"/>
    <w:rsid w:val="00F20F10"/>
    <w:rsid w:val="00F20FCE"/>
    <w:rsid w:val="00F2699D"/>
    <w:rsid w:val="00F26A3B"/>
    <w:rsid w:val="00F26C95"/>
    <w:rsid w:val="00F30813"/>
    <w:rsid w:val="00F310F3"/>
    <w:rsid w:val="00F32187"/>
    <w:rsid w:val="00F3375E"/>
    <w:rsid w:val="00F34718"/>
    <w:rsid w:val="00F3574A"/>
    <w:rsid w:val="00F3624F"/>
    <w:rsid w:val="00F417E9"/>
    <w:rsid w:val="00F41832"/>
    <w:rsid w:val="00F41947"/>
    <w:rsid w:val="00F425F3"/>
    <w:rsid w:val="00F4371A"/>
    <w:rsid w:val="00F43A0B"/>
    <w:rsid w:val="00F462AC"/>
    <w:rsid w:val="00F47448"/>
    <w:rsid w:val="00F54405"/>
    <w:rsid w:val="00F5793F"/>
    <w:rsid w:val="00F6204E"/>
    <w:rsid w:val="00F64085"/>
    <w:rsid w:val="00F64738"/>
    <w:rsid w:val="00F64C5A"/>
    <w:rsid w:val="00F660D3"/>
    <w:rsid w:val="00F676F2"/>
    <w:rsid w:val="00F7076C"/>
    <w:rsid w:val="00F71AEA"/>
    <w:rsid w:val="00F71D99"/>
    <w:rsid w:val="00F72185"/>
    <w:rsid w:val="00F72C50"/>
    <w:rsid w:val="00F72D91"/>
    <w:rsid w:val="00F72FF0"/>
    <w:rsid w:val="00F75291"/>
    <w:rsid w:val="00F75ADE"/>
    <w:rsid w:val="00F821D8"/>
    <w:rsid w:val="00F8232C"/>
    <w:rsid w:val="00F82855"/>
    <w:rsid w:val="00F829F6"/>
    <w:rsid w:val="00F87CD1"/>
    <w:rsid w:val="00F905E8"/>
    <w:rsid w:val="00F910B0"/>
    <w:rsid w:val="00F917D8"/>
    <w:rsid w:val="00F96651"/>
    <w:rsid w:val="00F9731F"/>
    <w:rsid w:val="00FA0373"/>
    <w:rsid w:val="00FA17A1"/>
    <w:rsid w:val="00FA3A1F"/>
    <w:rsid w:val="00FA4D7C"/>
    <w:rsid w:val="00FA58B8"/>
    <w:rsid w:val="00FA5AC0"/>
    <w:rsid w:val="00FA64C1"/>
    <w:rsid w:val="00FA6CB1"/>
    <w:rsid w:val="00FA79BC"/>
    <w:rsid w:val="00FB0743"/>
    <w:rsid w:val="00FB3DC0"/>
    <w:rsid w:val="00FB4E59"/>
    <w:rsid w:val="00FB534B"/>
    <w:rsid w:val="00FC0089"/>
    <w:rsid w:val="00FC1880"/>
    <w:rsid w:val="00FC3C5B"/>
    <w:rsid w:val="00FC4173"/>
    <w:rsid w:val="00FC4DB8"/>
    <w:rsid w:val="00FC6C08"/>
    <w:rsid w:val="00FD143D"/>
    <w:rsid w:val="00FD1D14"/>
    <w:rsid w:val="00FD1E84"/>
    <w:rsid w:val="00FD48D7"/>
    <w:rsid w:val="00FD4E2B"/>
    <w:rsid w:val="00FD5A1E"/>
    <w:rsid w:val="00FD643E"/>
    <w:rsid w:val="00FD697B"/>
    <w:rsid w:val="00FE0785"/>
    <w:rsid w:val="00FE0FFC"/>
    <w:rsid w:val="00FE1122"/>
    <w:rsid w:val="00FE1A30"/>
    <w:rsid w:val="00FE4067"/>
    <w:rsid w:val="00FE43E6"/>
    <w:rsid w:val="00FF6117"/>
    <w:rsid w:val="00FF66E9"/>
    <w:rsid w:val="00FF7621"/>
    <w:rsid w:val="00FF77AE"/>
    <w:rsid w:val="01DA6D44"/>
    <w:rsid w:val="0570258E"/>
    <w:rsid w:val="07CD72A9"/>
    <w:rsid w:val="0E160656"/>
    <w:rsid w:val="0F0F6A2A"/>
    <w:rsid w:val="10DC7357"/>
    <w:rsid w:val="114152D2"/>
    <w:rsid w:val="15F16C9E"/>
    <w:rsid w:val="1A0125F4"/>
    <w:rsid w:val="1B267081"/>
    <w:rsid w:val="1DE04708"/>
    <w:rsid w:val="2121700F"/>
    <w:rsid w:val="235D4E44"/>
    <w:rsid w:val="23993F6B"/>
    <w:rsid w:val="242E3CD5"/>
    <w:rsid w:val="2E252265"/>
    <w:rsid w:val="362737A2"/>
    <w:rsid w:val="3B9545C2"/>
    <w:rsid w:val="423E1D04"/>
    <w:rsid w:val="44067AEE"/>
    <w:rsid w:val="45741367"/>
    <w:rsid w:val="482F725A"/>
    <w:rsid w:val="48B07610"/>
    <w:rsid w:val="4A984DF7"/>
    <w:rsid w:val="4B9C41C8"/>
    <w:rsid w:val="4DBA1EE3"/>
    <w:rsid w:val="4FA02B01"/>
    <w:rsid w:val="4FB76EF9"/>
    <w:rsid w:val="4FE03150"/>
    <w:rsid w:val="50905170"/>
    <w:rsid w:val="56A11E52"/>
    <w:rsid w:val="579608F9"/>
    <w:rsid w:val="5A7673AF"/>
    <w:rsid w:val="5B7C6B0F"/>
    <w:rsid w:val="5D1C6442"/>
    <w:rsid w:val="5EA364B2"/>
    <w:rsid w:val="62134778"/>
    <w:rsid w:val="631F1556"/>
    <w:rsid w:val="6AD61D9F"/>
    <w:rsid w:val="6CCB05AE"/>
    <w:rsid w:val="737A30A7"/>
    <w:rsid w:val="754405CA"/>
    <w:rsid w:val="7863417F"/>
    <w:rsid w:val="789B0ECB"/>
    <w:rsid w:val="7CD10243"/>
    <w:rsid w:val="7F1332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unhideWhenUsed="0" w:uiPriority="0" w:semiHidden="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qFormat/>
    <w:uiPriority w:val="0"/>
    <w:pPr>
      <w:ind w:firstLine="600"/>
    </w:pPr>
    <w:rPr>
      <w:sz w:val="28"/>
    </w:rPr>
  </w:style>
  <w:style w:type="paragraph" w:styleId="6">
    <w:name w:val="Date"/>
    <w:basedOn w:val="1"/>
    <w:next w:val="1"/>
    <w:qFormat/>
    <w:uiPriority w:val="0"/>
    <w:pPr>
      <w:ind w:left="100" w:leftChars="2500"/>
    </w:pPr>
  </w:style>
  <w:style w:type="paragraph" w:styleId="7">
    <w:name w:val="Balloon Text"/>
    <w:basedOn w:val="1"/>
    <w:link w:val="32"/>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0"/>
  </w:style>
  <w:style w:type="paragraph" w:styleId="11">
    <w:name w:val="toc 4"/>
    <w:basedOn w:val="1"/>
    <w:next w:val="1"/>
    <w:semiHidden/>
    <w:qFormat/>
    <w:uiPriority w:val="0"/>
    <w:pPr>
      <w:tabs>
        <w:tab w:val="right" w:leader="dot" w:pos="8302"/>
      </w:tabs>
      <w:jc w:val="left"/>
    </w:pPr>
  </w:style>
  <w:style w:type="paragraph" w:styleId="12">
    <w:name w:val="toc 2"/>
    <w:basedOn w:val="1"/>
    <w:next w:val="1"/>
    <w:qFormat/>
    <w:uiPriority w:val="0"/>
    <w:pPr>
      <w:ind w:left="420" w:leftChars="200"/>
    </w:p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qFormat/>
    <w:uiPriority w:val="0"/>
    <w:rPr>
      <w:color w:val="0000FF"/>
      <w:u w:val="single"/>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公式"/>
    <w:basedOn w:val="1"/>
    <w:qFormat/>
    <w:uiPriority w:val="0"/>
    <w:pPr>
      <w:jc w:val="center"/>
    </w:pPr>
  </w:style>
  <w:style w:type="paragraph" w:customStyle="1" w:styleId="21">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2">
    <w:name w:val="样式 行距: 1.5 倍行距"/>
    <w:basedOn w:val="1"/>
    <w:qFormat/>
    <w:uiPriority w:val="0"/>
    <w:pPr>
      <w:spacing w:line="360" w:lineRule="auto"/>
    </w:pPr>
    <w:rPr>
      <w:rFonts w:cs="宋体"/>
      <w:szCs w:val="20"/>
    </w:rPr>
  </w:style>
  <w:style w:type="paragraph" w:customStyle="1" w:styleId="23">
    <w:name w:val="段"/>
    <w:link w:val="3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
    <w:name w:val="注×："/>
    <w:qFormat/>
    <w:uiPriority w:val="0"/>
    <w:pPr>
      <w:widowControl w:val="0"/>
      <w:numPr>
        <w:ilvl w:val="0"/>
        <w:numId w:val="1"/>
      </w:numPr>
      <w:autoSpaceDE w:val="0"/>
      <w:autoSpaceDN w:val="0"/>
      <w:jc w:val="both"/>
    </w:pPr>
    <w:rPr>
      <w:rFonts w:ascii="宋体" w:hAnsi="Times New Roman" w:eastAsia="宋体" w:cs="Times New Roman"/>
      <w:sz w:val="18"/>
      <w:szCs w:val="18"/>
      <w:lang w:val="en-US" w:eastAsia="zh-CN" w:bidi="ar-SA"/>
    </w:rPr>
  </w:style>
  <w:style w:type="paragraph" w:customStyle="1" w:styleId="25">
    <w:name w:val="一级条标题"/>
    <w:next w:val="23"/>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
    <w:name w:val="三级条标题"/>
    <w:basedOn w:val="27"/>
    <w:next w:val="1"/>
    <w:qFormat/>
    <w:uiPriority w:val="0"/>
    <w:pPr>
      <w:numPr>
        <w:ilvl w:val="3"/>
        <w:numId w:val="2"/>
      </w:numPr>
      <w:outlineLvl w:val="4"/>
    </w:pPr>
  </w:style>
  <w:style w:type="paragraph" w:customStyle="1" w:styleId="27">
    <w:name w:val="二级条标题"/>
    <w:basedOn w:val="25"/>
    <w:next w:val="1"/>
    <w:qFormat/>
    <w:uiPriority w:val="0"/>
    <w:pPr>
      <w:numPr>
        <w:ilvl w:val="2"/>
        <w:numId w:val="2"/>
      </w:numPr>
      <w:spacing w:before="50" w:after="50"/>
      <w:outlineLvl w:val="3"/>
    </w:pPr>
  </w:style>
  <w:style w:type="paragraph" w:customStyle="1" w:styleId="28">
    <w:name w:val="城建"/>
    <w:basedOn w:val="2"/>
    <w:qFormat/>
    <w:uiPriority w:val="0"/>
    <w:pPr>
      <w:jc w:val="center"/>
    </w:pPr>
    <w:rPr>
      <w:rFonts w:eastAsia="黑体"/>
      <w:b w:val="0"/>
      <w:sz w:val="32"/>
    </w:rPr>
  </w:style>
  <w:style w:type="paragraph" w:customStyle="1" w:styleId="29">
    <w:name w:val="五级条标题"/>
    <w:basedOn w:val="30"/>
    <w:next w:val="1"/>
    <w:qFormat/>
    <w:uiPriority w:val="0"/>
    <w:pPr>
      <w:numPr>
        <w:ilvl w:val="5"/>
        <w:numId w:val="2"/>
      </w:numPr>
      <w:outlineLvl w:val="6"/>
    </w:pPr>
  </w:style>
  <w:style w:type="paragraph" w:customStyle="1" w:styleId="30">
    <w:name w:val="四级条标题"/>
    <w:basedOn w:val="26"/>
    <w:next w:val="1"/>
    <w:qFormat/>
    <w:uiPriority w:val="0"/>
    <w:pPr>
      <w:numPr>
        <w:ilvl w:val="4"/>
        <w:numId w:val="2"/>
      </w:numPr>
      <w:outlineLvl w:val="5"/>
    </w:pPr>
  </w:style>
  <w:style w:type="paragraph" w:customStyle="1" w:styleId="31">
    <w:name w:val="章标题"/>
    <w:next w:val="1"/>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character" w:customStyle="1" w:styleId="32">
    <w:name w:val="批注框文本 Char"/>
    <w:link w:val="7"/>
    <w:qFormat/>
    <w:uiPriority w:val="0"/>
    <w:rPr>
      <w:kern w:val="2"/>
      <w:sz w:val="18"/>
      <w:szCs w:val="18"/>
    </w:rPr>
  </w:style>
  <w:style w:type="character" w:customStyle="1" w:styleId="33">
    <w:name w:val="uetsuki"/>
    <w:qFormat/>
    <w:uiPriority w:val="0"/>
    <w:rPr>
      <w:rFonts w:cs="Arial"/>
      <w:vertAlign w:val="superscript"/>
      <w:lang w:eastAsia="zh-CN"/>
    </w:rPr>
  </w:style>
  <w:style w:type="character" w:customStyle="1" w:styleId="34">
    <w:name w:val="段 Char"/>
    <w:link w:val="23"/>
    <w:qFormat/>
    <w:uiPriority w:val="0"/>
    <w:rPr>
      <w:rFonts w:ascii="宋体"/>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BUAA</Company>
  <Pages>31</Pages>
  <Words>2471</Words>
  <Characters>14089</Characters>
  <Lines>117</Lines>
  <Paragraphs>33</Paragraphs>
  <TotalTime>0</TotalTime>
  <ScaleCrop>false</ScaleCrop>
  <LinksUpToDate>false</LinksUpToDate>
  <CharactersWithSpaces>16527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2019-08-05T06:16:00Z</dcterms:created>
  <dc:creator>杨思远</dc:creator>
  <cp:lastModifiedBy>Tequila良</cp:lastModifiedBy>
  <cp:lastPrinted>2014-04-24T08:26:00Z</cp:lastPrinted>
  <dcterms:modified xsi:type="dcterms:W3CDTF">2020-03-13T06:31:19Z</dcterms:modified>
  <dc:title>《建筑玻璃用隔热涂层》</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